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B2B8">
      <w:pPr>
        <w:spacing w:after="200" w:line="276" w:lineRule="auto"/>
        <w:rPr>
          <w:rFonts w:eastAsia="Calibri"/>
          <w:b/>
          <w:lang w:val="sr-Latn-ME"/>
        </w:rPr>
      </w:pPr>
      <w:bookmarkStart w:id="24" w:name="_GoBack"/>
    </w:p>
    <w:p w14:paraId="456416D5">
      <w:pPr>
        <w:spacing w:line="276" w:lineRule="auto"/>
        <w:jc w:val="right"/>
        <w:rPr>
          <w:rFonts w:ascii="Arial" w:hAnsi="Arial" w:cs="Arial"/>
          <w:b/>
          <w:color w:val="000000"/>
          <w:lang w:val="sr-Latn-ME"/>
        </w:rPr>
      </w:pPr>
      <w:r>
        <w:rPr>
          <w:rFonts w:ascii="Arial" w:hAnsi="Arial" w:cs="Arial"/>
          <w:b/>
          <w:color w:val="000000"/>
          <w:lang w:val="sr-Latn-ME"/>
        </w:rPr>
        <w:t xml:space="preserve">OBRAZAC 1  </w:t>
      </w:r>
    </w:p>
    <w:p w14:paraId="2BCCC8FD">
      <w:pPr>
        <w:spacing w:line="276" w:lineRule="auto"/>
        <w:rPr>
          <w:rFonts w:ascii="Arial" w:hAnsi="Arial" w:cs="Arial"/>
          <w:color w:val="000000"/>
          <w:lang w:val="sr-Latn-ME"/>
        </w:rPr>
      </w:pPr>
    </w:p>
    <w:p w14:paraId="3D647029">
      <w:pPr>
        <w:tabs>
          <w:tab w:val="left" w:pos="1701"/>
          <w:tab w:val="left" w:pos="4820"/>
        </w:tabs>
        <w:jc w:val="both"/>
        <w:rPr>
          <w:rFonts w:ascii="Arial" w:hAnsi="Arial" w:cs="Arial"/>
          <w:color w:val="000000"/>
        </w:rPr>
      </w:pPr>
      <w:r>
        <w:rPr>
          <w:rFonts w:ascii="Arial" w:hAnsi="Arial" w:cs="Arial"/>
          <w:color w:val="000000"/>
        </w:rPr>
        <w:t>Putevi d.o.o. Podgorica</w:t>
      </w:r>
    </w:p>
    <w:p w14:paraId="512FB8EC">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Pr>
          <w:rFonts w:ascii="Arial" w:hAnsi="Arial" w:cs="Arial"/>
          <w:lang w:val="sr-Latn-ME"/>
        </w:rPr>
        <w:t>50/25</w:t>
      </w:r>
    </w:p>
    <w:p w14:paraId="2ED62262">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10</w:t>
      </w:r>
    </w:p>
    <w:p w14:paraId="67F1CB9C">
      <w:pPr>
        <w:jc w:val="both"/>
        <w:rPr>
          <w:rFonts w:ascii="Arial" w:hAnsi="Arial" w:cs="Arial"/>
          <w:b/>
          <w:bCs/>
          <w:color w:val="000000"/>
        </w:rPr>
      </w:pPr>
      <w:r>
        <w:rPr>
          <w:rFonts w:ascii="Arial" w:hAnsi="Arial" w:cs="Arial"/>
          <w:color w:val="000000"/>
        </w:rPr>
        <w:t xml:space="preserve">Mjesto i datum: </w:t>
      </w:r>
      <w:r>
        <w:rPr>
          <w:rFonts w:ascii="Arial" w:hAnsi="Arial" w:cs="Arial"/>
          <w:color w:val="000000"/>
          <w:lang w:val="sr-Latn-ME"/>
        </w:rPr>
        <w:t>25.11.2025.</w:t>
      </w:r>
      <w:r>
        <w:rPr>
          <w:rFonts w:ascii="Arial" w:hAnsi="Arial" w:cs="Arial"/>
          <w:color w:val="000000"/>
        </w:rPr>
        <w:t xml:space="preserve"> godine</w:t>
      </w:r>
    </w:p>
    <w:p w14:paraId="421D20D9">
      <w:pPr>
        <w:rPr>
          <w:rFonts w:ascii="Arial" w:hAnsi="Arial" w:cs="Arial"/>
        </w:rPr>
      </w:pPr>
    </w:p>
    <w:p w14:paraId="7282045D">
      <w:pPr>
        <w:rPr>
          <w:rFonts w:ascii="Arial" w:hAnsi="Arial" w:cs="Arial"/>
        </w:rPr>
      </w:pPr>
    </w:p>
    <w:p w14:paraId="00EE5455">
      <w:pPr>
        <w:tabs>
          <w:tab w:val="left" w:pos="1276"/>
          <w:tab w:val="left" w:pos="3261"/>
        </w:tabs>
        <w:jc w:val="both"/>
        <w:rPr>
          <w:rFonts w:ascii="Arial" w:hAnsi="Arial" w:cs="Arial"/>
          <w:b/>
          <w:bCs/>
          <w:color w:val="000000"/>
        </w:rPr>
      </w:pPr>
      <w:r>
        <w:rPr>
          <w:rFonts w:ascii="Arial" w:hAnsi="Arial" w:cs="Arial"/>
        </w:rPr>
        <w:t xml:space="preserve">Na osnovu člana </w:t>
      </w:r>
      <w:r>
        <w:rPr>
          <w:rFonts w:ascii="Arial" w:hAnsi="Arial" w:cs="Arial"/>
          <w:lang w:val="sr-Latn-ME"/>
        </w:rPr>
        <w:t>5</w:t>
      </w:r>
      <w:r>
        <w:rPr>
          <w:rFonts w:ascii="Arial" w:hAnsi="Arial" w:cs="Arial"/>
        </w:rPr>
        <w:t xml:space="preserve">3 stav </w:t>
      </w:r>
      <w:r>
        <w:rPr>
          <w:rFonts w:ascii="Arial" w:hAnsi="Arial" w:cs="Arial"/>
          <w:lang w:val="sr-Latn-ME"/>
        </w:rPr>
        <w:t>3</w:t>
      </w:r>
      <w:r>
        <w:rPr>
          <w:rFonts w:ascii="Arial" w:hAnsi="Arial" w:cs="Arial"/>
        </w:rPr>
        <w:t xml:space="preserve"> Zakona o javnim nabavkama („Službeni list CG“, br. 74/19</w:t>
      </w:r>
      <w:r>
        <w:rPr>
          <w:rFonts w:ascii="Arial" w:hAnsi="Arial" w:cs="Arial"/>
          <w:lang w:val="sr-Latn-ME"/>
        </w:rPr>
        <w:t>, 3/23 i 11/23</w:t>
      </w:r>
      <w:r>
        <w:rPr>
          <w:rFonts w:ascii="Arial" w:hAnsi="Arial" w:cs="Arial"/>
        </w:rPr>
        <w:t>) Putevi d.o.o. Podgorica objavljuje</w:t>
      </w:r>
      <w:r>
        <w:rPr>
          <w:rFonts w:ascii="Arial" w:hAnsi="Arial" w:cs="Arial"/>
          <w:b/>
          <w:bCs/>
          <w:color w:val="000000"/>
        </w:rPr>
        <w:t xml:space="preserve">      </w:t>
      </w:r>
    </w:p>
    <w:p w14:paraId="5225EDC3">
      <w:pPr>
        <w:tabs>
          <w:tab w:val="left" w:pos="1276"/>
          <w:tab w:val="left" w:pos="3261"/>
        </w:tabs>
        <w:jc w:val="both"/>
        <w:rPr>
          <w:rFonts w:ascii="Arial" w:hAnsi="Arial" w:cs="Arial"/>
          <w:b/>
          <w:bCs/>
          <w:color w:val="000000"/>
        </w:rPr>
      </w:pPr>
      <w:r>
        <w:rPr>
          <w:rFonts w:ascii="Arial" w:hAnsi="Arial" w:cs="Arial"/>
          <w:b/>
          <w:bCs/>
          <w:color w:val="000000"/>
        </w:rPr>
        <w:t xml:space="preserve"> </w:t>
      </w:r>
    </w:p>
    <w:p w14:paraId="141F241E">
      <w:pPr>
        <w:tabs>
          <w:tab w:val="left" w:pos="1276"/>
          <w:tab w:val="left" w:pos="3261"/>
        </w:tabs>
        <w:jc w:val="both"/>
        <w:rPr>
          <w:rFonts w:ascii="Arial" w:hAnsi="Arial" w:cs="Arial"/>
          <w:b/>
          <w:bCs/>
          <w:color w:val="000000"/>
        </w:rPr>
      </w:pPr>
    </w:p>
    <w:p w14:paraId="09B93C6A">
      <w:pPr>
        <w:tabs>
          <w:tab w:val="left" w:pos="1276"/>
          <w:tab w:val="left" w:pos="3261"/>
        </w:tabs>
        <w:jc w:val="both"/>
        <w:rPr>
          <w:rFonts w:ascii="Arial" w:hAnsi="Arial" w:cs="Arial"/>
          <w:b/>
          <w:bCs/>
          <w:color w:val="000000"/>
        </w:rPr>
      </w:pPr>
    </w:p>
    <w:p w14:paraId="176123BE">
      <w:pPr>
        <w:tabs>
          <w:tab w:val="left" w:pos="1276"/>
          <w:tab w:val="left" w:pos="3261"/>
        </w:tabs>
        <w:jc w:val="both"/>
        <w:rPr>
          <w:rFonts w:ascii="Arial" w:hAnsi="Arial" w:cs="Arial"/>
          <w:bCs/>
          <w:color w:val="000000"/>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4661E408">
      <w:pPr>
        <w:tabs>
          <w:tab w:val="left" w:pos="1276"/>
          <w:tab w:val="left" w:pos="3261"/>
        </w:tabs>
        <w:jc w:val="both"/>
        <w:rPr>
          <w:rFonts w:ascii="Arial" w:hAnsi="Arial" w:cs="Arial"/>
          <w:bCs/>
          <w:color w:val="000000"/>
        </w:rPr>
      </w:pPr>
    </w:p>
    <w:p w14:paraId="29C00B1C">
      <w:pPr>
        <w:tabs>
          <w:tab w:val="left" w:pos="1276"/>
          <w:tab w:val="left" w:pos="3261"/>
        </w:tabs>
        <w:jc w:val="both"/>
        <w:rPr>
          <w:rFonts w:ascii="Arial" w:hAnsi="Arial" w:cs="Arial"/>
          <w:bCs/>
          <w:color w:val="000000"/>
        </w:rPr>
      </w:pPr>
    </w:p>
    <w:p w14:paraId="3D3340A9">
      <w:pPr>
        <w:tabs>
          <w:tab w:val="left" w:pos="1276"/>
          <w:tab w:val="left" w:pos="3261"/>
        </w:tabs>
        <w:jc w:val="both"/>
        <w:rPr>
          <w:rFonts w:ascii="Arial" w:hAnsi="Arial" w:cs="Arial"/>
          <w:bCs/>
          <w:color w:val="000000"/>
        </w:rPr>
      </w:pPr>
    </w:p>
    <w:p w14:paraId="42BB4F86">
      <w:pPr>
        <w:tabs>
          <w:tab w:val="left" w:pos="1276"/>
          <w:tab w:val="left" w:pos="3261"/>
        </w:tabs>
        <w:jc w:val="both"/>
        <w:rPr>
          <w:rFonts w:ascii="Arial" w:hAnsi="Arial" w:cs="Arial"/>
          <w:bCs/>
          <w:color w:val="000000"/>
        </w:rPr>
      </w:pPr>
    </w:p>
    <w:p w14:paraId="224F53C0">
      <w:pPr>
        <w:tabs>
          <w:tab w:val="left" w:pos="1276"/>
          <w:tab w:val="left" w:pos="3261"/>
        </w:tabs>
        <w:jc w:val="both"/>
        <w:rPr>
          <w:rFonts w:ascii="Arial" w:hAnsi="Arial" w:cs="Arial"/>
        </w:rPr>
      </w:pPr>
      <w:r>
        <w:rPr>
          <w:rFonts w:ascii="Arial" w:hAnsi="Arial" w:cs="Arial"/>
          <w:bCs/>
          <w:color w:val="000000"/>
        </w:rPr>
        <w:t xml:space="preserve">                              </w:t>
      </w:r>
    </w:p>
    <w:p w14:paraId="584CAACA">
      <w:pPr>
        <w:keepNext/>
        <w:jc w:val="center"/>
        <w:outlineLvl w:val="0"/>
        <w:rPr>
          <w:rFonts w:ascii="Arial" w:hAnsi="Arial" w:cs="Arial"/>
          <w:b/>
          <w:bCs/>
          <w:color w:val="000000"/>
        </w:rPr>
      </w:pPr>
    </w:p>
    <w:p w14:paraId="1040F083">
      <w:pPr>
        <w:jc w:val="center"/>
        <w:rPr>
          <w:rFonts w:ascii="Arial" w:hAnsi="Arial" w:cs="Arial"/>
          <w:b/>
          <w:bCs/>
          <w:color w:val="000000"/>
        </w:rPr>
      </w:pPr>
      <w:r>
        <w:rPr>
          <w:rFonts w:ascii="Arial" w:hAnsi="Arial" w:cs="Arial"/>
          <w:b/>
          <w:bCs/>
          <w:color w:val="000000"/>
        </w:rPr>
        <w:t>TENDERSKU DOKUMENTACIJU</w:t>
      </w:r>
    </w:p>
    <w:p w14:paraId="26577F00">
      <w:pPr>
        <w:jc w:val="center"/>
        <w:rPr>
          <w:rFonts w:ascii="Arial" w:hAnsi="Arial" w:cs="Arial"/>
          <w:b/>
          <w:bCs/>
          <w:color w:val="000000"/>
        </w:rPr>
      </w:pPr>
      <w:r>
        <w:rPr>
          <w:rFonts w:ascii="Arial" w:hAnsi="Arial" w:cs="Arial"/>
          <w:b/>
          <w:bCs/>
          <w:color w:val="000000"/>
        </w:rPr>
        <w:t>ZA OTVORENI POSTUPAK JAVNE NABAVKE ROBE</w:t>
      </w:r>
    </w:p>
    <w:p w14:paraId="05AFD954">
      <w:pPr>
        <w:jc w:val="center"/>
        <w:rPr>
          <w:rFonts w:ascii="Arial" w:hAnsi="Arial" w:cs="Arial"/>
          <w:b/>
          <w:bCs/>
          <w:color w:val="000000"/>
        </w:rPr>
      </w:pPr>
    </w:p>
    <w:p w14:paraId="46311314">
      <w:pPr>
        <w:jc w:val="center"/>
        <w:rPr>
          <w:rFonts w:ascii="Arial" w:hAnsi="Arial"/>
          <w:color w:val="000000"/>
          <w:lang w:val="sr-Latn-ME"/>
        </w:rPr>
      </w:pPr>
      <w:r>
        <w:rPr>
          <w:rFonts w:ascii="Arial" w:hAnsi="Arial"/>
          <w:color w:val="000000"/>
          <w:lang w:val="sr-Latn-ME"/>
        </w:rPr>
        <w:t>Postrojenje za preradu kamena (drobilično postrojenje ) sa pratećom opremom</w:t>
      </w:r>
    </w:p>
    <w:p w14:paraId="63B5BC82">
      <w:pPr>
        <w:jc w:val="both"/>
        <w:rPr>
          <w:rFonts w:ascii="Arial" w:hAnsi="Arial"/>
          <w:color w:val="000000"/>
          <w:lang w:val="sr-Latn-ME"/>
        </w:rPr>
      </w:pPr>
    </w:p>
    <w:p w14:paraId="4E0DA3B0">
      <w:pPr>
        <w:jc w:val="both"/>
        <w:rPr>
          <w:rFonts w:ascii="Arial" w:hAnsi="Arial" w:cs="Arial"/>
          <w:color w:val="000000"/>
        </w:rPr>
      </w:pPr>
    </w:p>
    <w:p w14:paraId="7C4D7651">
      <w:pPr>
        <w:jc w:val="both"/>
        <w:rPr>
          <w:rFonts w:ascii="Arial" w:hAnsi="Arial" w:cs="Arial"/>
          <w:color w:val="000000"/>
        </w:rPr>
      </w:pPr>
      <w:r>
        <w:rPr>
          <w:rFonts w:ascii="Arial" w:hAnsi="Arial" w:cs="Arial"/>
          <w:color w:val="000000"/>
        </w:rPr>
        <w:t>nabavke se nabavlja:</w:t>
      </w:r>
    </w:p>
    <w:p w14:paraId="42C10A65">
      <w:pPr>
        <w:jc w:val="both"/>
        <w:rPr>
          <w:rFonts w:ascii="Arial" w:hAnsi="Arial" w:cs="Arial"/>
          <w:color w:val="000000"/>
        </w:rPr>
      </w:pPr>
    </w:p>
    <w:p w14:paraId="02B8A008">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7FE0167D">
      <w:pPr>
        <w:rPr>
          <w:rFonts w:ascii="Arial" w:hAnsi="Arial" w:cs="Arial"/>
          <w:color w:val="000000"/>
        </w:rPr>
      </w:pPr>
    </w:p>
    <w:p w14:paraId="65CEF2B2">
      <w:pPr>
        <w:spacing w:line="276" w:lineRule="auto"/>
        <w:rPr>
          <w:rFonts w:ascii="Arial" w:hAnsi="Arial" w:cs="Arial"/>
          <w:color w:val="000000"/>
          <w:lang w:val="sr-Latn-ME"/>
        </w:rPr>
      </w:pPr>
    </w:p>
    <w:p w14:paraId="4F41767F">
      <w:pPr>
        <w:spacing w:line="276" w:lineRule="auto"/>
        <w:rPr>
          <w:rFonts w:ascii="Arial" w:hAnsi="Arial" w:cs="Arial"/>
          <w:color w:val="000000"/>
          <w:lang w:val="sr-Latn-ME"/>
        </w:rPr>
      </w:pPr>
    </w:p>
    <w:p w14:paraId="1D6BCC31">
      <w:pPr>
        <w:spacing w:line="276" w:lineRule="auto"/>
        <w:rPr>
          <w:rFonts w:ascii="Arial" w:hAnsi="Arial" w:cs="Arial"/>
          <w:color w:val="000000"/>
          <w:lang w:val="sr-Latn-ME"/>
        </w:rPr>
      </w:pPr>
    </w:p>
    <w:p w14:paraId="4B853669">
      <w:pPr>
        <w:spacing w:line="276" w:lineRule="auto"/>
        <w:rPr>
          <w:rFonts w:ascii="Arial" w:hAnsi="Arial" w:cs="Arial"/>
          <w:color w:val="000000"/>
          <w:lang w:val="sr-Latn-ME"/>
        </w:rPr>
      </w:pPr>
    </w:p>
    <w:p w14:paraId="50854657">
      <w:pPr>
        <w:spacing w:line="276" w:lineRule="auto"/>
        <w:rPr>
          <w:rFonts w:ascii="Arial" w:hAnsi="Arial" w:cs="Arial"/>
          <w:color w:val="000000"/>
          <w:lang w:val="sr-Latn-ME"/>
        </w:rPr>
      </w:pPr>
    </w:p>
    <w:p w14:paraId="0B80A8AB">
      <w:pPr>
        <w:spacing w:line="276" w:lineRule="auto"/>
        <w:rPr>
          <w:rFonts w:ascii="Arial" w:hAnsi="Arial" w:cs="Arial"/>
          <w:color w:val="000000"/>
          <w:lang w:val="sr-Latn-ME"/>
        </w:rPr>
      </w:pPr>
    </w:p>
    <w:p w14:paraId="02516692">
      <w:pPr>
        <w:spacing w:line="276" w:lineRule="auto"/>
        <w:rPr>
          <w:rFonts w:ascii="Arial" w:hAnsi="Arial" w:cs="Arial"/>
          <w:color w:val="000000"/>
          <w:lang w:val="sr-Latn-ME"/>
        </w:rPr>
      </w:pPr>
    </w:p>
    <w:p w14:paraId="1DEDA779">
      <w:pPr>
        <w:spacing w:line="276" w:lineRule="auto"/>
        <w:rPr>
          <w:rFonts w:ascii="Arial" w:hAnsi="Arial" w:cs="Arial"/>
          <w:color w:val="000000"/>
          <w:lang w:val="sr-Latn-ME"/>
        </w:rPr>
      </w:pPr>
    </w:p>
    <w:p w14:paraId="18A31790">
      <w:pPr>
        <w:spacing w:line="276" w:lineRule="auto"/>
        <w:rPr>
          <w:rFonts w:ascii="Arial" w:hAnsi="Arial" w:cs="Arial"/>
          <w:color w:val="000000"/>
          <w:lang w:val="sr-Latn-ME"/>
        </w:rPr>
      </w:pPr>
    </w:p>
    <w:p w14:paraId="7969EBEF">
      <w:pPr>
        <w:spacing w:line="276" w:lineRule="auto"/>
        <w:rPr>
          <w:rFonts w:ascii="Arial" w:hAnsi="Arial" w:cs="Arial"/>
          <w:color w:val="000000"/>
          <w:lang w:val="sr-Latn-ME"/>
        </w:rPr>
      </w:pPr>
    </w:p>
    <w:p w14:paraId="5FD9C1B2">
      <w:pPr>
        <w:spacing w:line="276" w:lineRule="auto"/>
        <w:rPr>
          <w:rFonts w:ascii="Arial" w:hAnsi="Arial" w:cs="Arial"/>
          <w:color w:val="000000"/>
          <w:lang w:val="sr-Latn-ME"/>
        </w:rPr>
      </w:pPr>
    </w:p>
    <w:p w14:paraId="5D310260">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76" w:lineRule="auto"/>
        <w:outlineLvl w:val="0"/>
        <w:rPr>
          <w:rFonts w:ascii="Arial" w:hAnsi="Arial"/>
          <w:b/>
          <w:color w:val="000000"/>
          <w:szCs w:val="32"/>
          <w:lang w:val="sr-Latn-ME"/>
        </w:rPr>
      </w:pPr>
      <w:bookmarkStart w:id="0" w:name="_Toc62730553"/>
      <w:r>
        <w:rPr>
          <w:rFonts w:ascii="Arial" w:hAnsi="Arial"/>
          <w:b/>
          <w:color w:val="000000"/>
          <w:szCs w:val="32"/>
          <w:lang w:val="sr-Latn-ME"/>
        </w:rPr>
        <w:t>POZIV ZA NADMETANJE</w:t>
      </w:r>
      <w:r>
        <w:rPr>
          <w:rFonts w:ascii="Arial" w:hAnsi="Arial"/>
          <w:b/>
          <w:color w:val="000000"/>
          <w:szCs w:val="32"/>
          <w:vertAlign w:val="superscript"/>
          <w:lang w:val="sr-Latn-ME"/>
        </w:rPr>
        <w:footnoteReference w:id="0"/>
      </w:r>
      <w:bookmarkEnd w:id="0"/>
      <w:r>
        <w:rPr>
          <w:rFonts w:ascii="Arial" w:hAnsi="Arial"/>
          <w:b/>
          <w:color w:val="000000"/>
          <w:szCs w:val="32"/>
          <w:lang w:val="sr-Latn-ME"/>
        </w:rPr>
        <w:t xml:space="preserve"> </w:t>
      </w:r>
    </w:p>
    <w:p w14:paraId="3C350733">
      <w:pPr>
        <w:numPr>
          <w:ilvl w:val="0"/>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Podaci o naručiocu;</w:t>
      </w:r>
    </w:p>
    <w:p w14:paraId="5961FFB3">
      <w:pPr>
        <w:numPr>
          <w:ilvl w:val="0"/>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 xml:space="preserve">Podaci o postupku i predmetu javne nabavke: </w:t>
      </w:r>
    </w:p>
    <w:p w14:paraId="1F9B5D81">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Vrsta postupka,</w:t>
      </w:r>
    </w:p>
    <w:p w14:paraId="265EF1C9">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Predmet javne nabavke (vrsta predmeta, naziv i opis predmeta),</w:t>
      </w:r>
    </w:p>
    <w:p w14:paraId="236E7048">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Procijenjena vrijednost predmeta nabavke</w:t>
      </w:r>
      <w:r>
        <w:rPr>
          <w:rFonts w:ascii="Arial" w:hAnsi="Arial" w:eastAsia="Calibri" w:cs="Arial"/>
          <w:color w:val="000000"/>
          <w:sz w:val="22"/>
          <w:szCs w:val="22"/>
          <w:vertAlign w:val="superscript"/>
          <w:lang w:val="sr-Latn-ME"/>
        </w:rPr>
        <w:footnoteReference w:id="1"/>
      </w:r>
      <w:r>
        <w:rPr>
          <w:rFonts w:ascii="Arial" w:hAnsi="Arial" w:eastAsia="Calibri" w:cs="Arial"/>
          <w:color w:val="000000"/>
          <w:sz w:val="22"/>
          <w:szCs w:val="22"/>
          <w:lang w:val="sr-Latn-ME"/>
        </w:rPr>
        <w:t>,</w:t>
      </w:r>
    </w:p>
    <w:p w14:paraId="5ED63FD7">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 xml:space="preserve">Način nabavke: </w:t>
      </w:r>
    </w:p>
    <w:p w14:paraId="5C5BF219">
      <w:pPr>
        <w:numPr>
          <w:ilvl w:val="0"/>
          <w:numId w:val="3"/>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Cjelina, po partijama,</w:t>
      </w:r>
    </w:p>
    <w:p w14:paraId="4E637E80">
      <w:pPr>
        <w:numPr>
          <w:ilvl w:val="0"/>
          <w:numId w:val="3"/>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Zajednička nabavka,</w:t>
      </w:r>
    </w:p>
    <w:p w14:paraId="59F8D109">
      <w:pPr>
        <w:numPr>
          <w:ilvl w:val="0"/>
          <w:numId w:val="3"/>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Centralizovana nabavka,</w:t>
      </w:r>
    </w:p>
    <w:p w14:paraId="39782C9F">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Posebni oblik nabavke:</w:t>
      </w:r>
    </w:p>
    <w:p w14:paraId="5254AE3F">
      <w:pPr>
        <w:numPr>
          <w:ilvl w:val="0"/>
          <w:numId w:val="4"/>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Okvirni sporazum,</w:t>
      </w:r>
    </w:p>
    <w:p w14:paraId="15AD829A">
      <w:pPr>
        <w:numPr>
          <w:ilvl w:val="0"/>
          <w:numId w:val="4"/>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Dinamički sistem nabavki,</w:t>
      </w:r>
    </w:p>
    <w:p w14:paraId="3C780E02">
      <w:pPr>
        <w:numPr>
          <w:ilvl w:val="0"/>
          <w:numId w:val="4"/>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Elektronska aukcija,</w:t>
      </w:r>
    </w:p>
    <w:p w14:paraId="64BE482D">
      <w:pPr>
        <w:numPr>
          <w:ilvl w:val="0"/>
          <w:numId w:val="4"/>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Elektronski katalog,</w:t>
      </w:r>
    </w:p>
    <w:p w14:paraId="72E3E44D">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Uslovi za učešće u postupku javne nabavke i posebni osnovi za isključenje,</w:t>
      </w:r>
    </w:p>
    <w:p w14:paraId="2BBA44C7">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Kriterijum za izbor najpovoljnije ponude,</w:t>
      </w:r>
    </w:p>
    <w:p w14:paraId="23ED41DD">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Način, mjesto i vrijeme podnošenja ponuda i otvaranja ponuda,</w:t>
      </w:r>
    </w:p>
    <w:p w14:paraId="60047E45">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Rok za donošenje odluke o izboru,</w:t>
      </w:r>
    </w:p>
    <w:p w14:paraId="276D05BE">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Rok važenja ponude,</w:t>
      </w:r>
    </w:p>
    <w:p w14:paraId="46399762">
      <w:pPr>
        <w:numPr>
          <w:ilvl w:val="1"/>
          <w:numId w:val="2"/>
        </w:numPr>
        <w:spacing w:after="160" w:line="276" w:lineRule="auto"/>
        <w:contextualSpacing/>
        <w:rPr>
          <w:rFonts w:ascii="Arial" w:hAnsi="Arial" w:eastAsia="Calibri" w:cs="Arial"/>
          <w:color w:val="000000"/>
          <w:sz w:val="22"/>
          <w:szCs w:val="22"/>
          <w:lang w:val="sr-Latn-ME"/>
        </w:rPr>
      </w:pPr>
      <w:r>
        <w:rPr>
          <w:rFonts w:ascii="Arial" w:hAnsi="Arial" w:eastAsia="Calibri" w:cs="Arial"/>
          <w:color w:val="000000"/>
          <w:sz w:val="22"/>
          <w:szCs w:val="22"/>
          <w:lang w:val="sr-Latn-ME"/>
        </w:rPr>
        <w:t>Garancija ponude</w:t>
      </w:r>
    </w:p>
    <w:p w14:paraId="5907CD2A">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76" w:lineRule="auto"/>
        <w:outlineLvl w:val="0"/>
        <w:rPr>
          <w:rFonts w:ascii="Arial" w:hAnsi="Arial"/>
          <w:b/>
          <w:color w:val="000000"/>
          <w:szCs w:val="32"/>
          <w:lang w:val="sr-Latn-ME"/>
        </w:rPr>
      </w:pPr>
      <w:bookmarkStart w:id="1" w:name="_Toc62730554"/>
      <w:r>
        <w:rPr>
          <w:rFonts w:ascii="Arial" w:hAnsi="Arial"/>
          <w:b/>
          <w:color w:val="000000"/>
          <w:szCs w:val="32"/>
          <w:lang w:val="sr-Latn-ME"/>
        </w:rPr>
        <w:t>TEHNIČKA SPECIFIKACIJA PREDMETA JAVNE NABAVKE</w:t>
      </w:r>
      <w:r>
        <w:rPr>
          <w:rFonts w:ascii="Arial" w:hAnsi="Arial"/>
          <w:b/>
          <w:color w:val="000000"/>
          <w:szCs w:val="32"/>
          <w:vertAlign w:val="superscript"/>
          <w:lang w:val="sr-Latn-ME"/>
        </w:rPr>
        <w:footnoteReference w:id="2"/>
      </w:r>
      <w:bookmarkEnd w:id="1"/>
    </w:p>
    <w:p w14:paraId="1B56A944">
      <w:pPr>
        <w:numPr>
          <w:ilvl w:val="0"/>
          <w:numId w:val="5"/>
        </w:numPr>
        <w:spacing w:after="160" w:line="276" w:lineRule="auto"/>
        <w:ind w:left="1080" w:leftChars="0" w:firstLineChars="0"/>
        <w:contextualSpacing/>
        <w:jc w:val="both"/>
        <w:rPr>
          <w:rFonts w:ascii="Arial" w:hAnsi="Arial" w:eastAsia="Calibri" w:cs="Arial"/>
          <w:color w:val="000000"/>
          <w:sz w:val="22"/>
          <w:szCs w:val="22"/>
          <w:lang w:val="sr-Latn-ME"/>
        </w:rPr>
      </w:pPr>
      <w:r>
        <w:rPr>
          <w:rFonts w:ascii="Arial" w:hAnsi="Arial" w:eastAsia="Calibri" w:cs="Arial"/>
          <w:color w:val="000000"/>
          <w:sz w:val="22"/>
          <w:szCs w:val="22"/>
          <w:lang w:val="sr-Latn-ME"/>
        </w:rPr>
        <w:t>Naziv i opis predmeta nabavke u cjelini, po partijama i stavkama sa bitnim karakteristikama</w:t>
      </w:r>
    </w:p>
    <w:p w14:paraId="4DDCA464">
      <w:pPr>
        <w:numPr>
          <w:ilvl w:val="0"/>
          <w:numId w:val="5"/>
        </w:numPr>
        <w:spacing w:after="160" w:line="276" w:lineRule="auto"/>
        <w:ind w:left="1080" w:leftChars="0" w:firstLineChars="0"/>
        <w:contextualSpacing/>
        <w:jc w:val="both"/>
        <w:rPr>
          <w:rFonts w:ascii="Arial" w:hAnsi="Arial" w:eastAsia="Calibri" w:cs="Arial"/>
          <w:color w:val="000000"/>
          <w:sz w:val="22"/>
          <w:szCs w:val="22"/>
          <w:lang w:val="sr-Latn-ME"/>
        </w:rPr>
      </w:pPr>
      <w:r>
        <w:rPr>
          <w:rFonts w:ascii="Arial" w:hAnsi="Arial" w:eastAsia="Calibri" w:cs="Arial"/>
          <w:color w:val="000000"/>
          <w:sz w:val="22"/>
          <w:szCs w:val="22"/>
          <w:lang w:val="sr-Latn-ME"/>
        </w:rPr>
        <w:t>Zahtjevi u pogledu načina izvršavanja predmeta nabavke koji su od značaja za sačinjavanje ponude i izvršenje ugovora</w:t>
      </w:r>
    </w:p>
    <w:p w14:paraId="4EE4CA1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76" w:lineRule="auto"/>
        <w:ind w:left="1080" w:leftChars="0" w:firstLineChars="0"/>
        <w:jc w:val="both"/>
        <w:outlineLvl w:val="0"/>
        <w:rPr>
          <w:rFonts w:ascii="Arial" w:hAnsi="Arial"/>
          <w:b/>
          <w:color w:val="000000"/>
          <w:szCs w:val="32"/>
          <w:lang w:val="sr-Latn-ME"/>
        </w:rPr>
      </w:pPr>
      <w:bookmarkStart w:id="2" w:name="_Toc62730555"/>
      <w:r>
        <w:rPr>
          <w:rFonts w:ascii="Arial" w:hAnsi="Arial"/>
          <w:b/>
          <w:color w:val="000000"/>
          <w:szCs w:val="32"/>
          <w:lang w:val="sr-Latn-ME"/>
        </w:rPr>
        <w:t>DODATNE INFORMACIJE O PREDMETU I POSTUPKU NABAVKE</w:t>
      </w:r>
      <w:r>
        <w:rPr>
          <w:rFonts w:ascii="Arial" w:hAnsi="Arial"/>
          <w:b/>
          <w:color w:val="000000"/>
          <w:szCs w:val="32"/>
          <w:vertAlign w:val="superscript"/>
          <w:lang w:val="sr-Latn-ME"/>
        </w:rPr>
        <w:footnoteReference w:id="3"/>
      </w:r>
      <w:bookmarkEnd w:id="2"/>
    </w:p>
    <w:p w14:paraId="3A299F36">
      <w:pPr>
        <w:pBdr>
          <w:top w:val="single" w:color="auto" w:sz="4" w:space="1"/>
          <w:left w:val="single" w:color="auto" w:sz="4" w:space="4"/>
          <w:bottom w:val="single" w:color="auto" w:sz="4" w:space="1"/>
          <w:right w:val="single" w:color="auto" w:sz="4" w:space="4"/>
        </w:pBdr>
        <w:shd w:val="clear" w:color="auto" w:fill="D9D9D9"/>
        <w:spacing w:after="160" w:line="276" w:lineRule="auto"/>
        <w:rPr>
          <w:rFonts w:ascii="Arial" w:hAnsi="Arial" w:eastAsia="Calibri" w:cs="Arial"/>
          <w:b/>
          <w:bCs/>
          <w:color w:val="000000"/>
          <w:sz w:val="22"/>
          <w:szCs w:val="22"/>
          <w:lang w:val="sr-Latn-ME"/>
        </w:rPr>
      </w:pPr>
      <w:r>
        <w:rPr>
          <w:rFonts w:ascii="Arial" w:hAnsi="Arial" w:eastAsia="Calibri" w:cs="Arial"/>
          <w:b/>
          <w:bCs/>
          <w:color w:val="000000"/>
          <w:sz w:val="22"/>
          <w:szCs w:val="22"/>
          <w:lang w:val="sr-Latn-ME"/>
        </w:rPr>
        <w:t>Procijenjena vrijednost predmenta nabavke:</w:t>
      </w:r>
      <w:r>
        <w:rPr>
          <w:rFonts w:ascii="Arial" w:hAnsi="Arial" w:eastAsia="Calibri" w:cs="Arial"/>
          <w:b/>
          <w:bCs/>
          <w:color w:val="000000"/>
          <w:sz w:val="22"/>
          <w:szCs w:val="22"/>
          <w:vertAlign w:val="superscript"/>
          <w:lang w:val="sr-Latn-ME"/>
        </w:rPr>
        <w:footnoteReference w:id="4"/>
      </w:r>
    </w:p>
    <w:p w14:paraId="2C2F423F">
      <w:pPr>
        <w:spacing w:line="276" w:lineRule="auto"/>
        <w:jc w:val="both"/>
        <w:rPr>
          <w:rFonts w:ascii="Arial" w:hAnsi="Arial" w:eastAsia="Calibri" w:cs="Arial"/>
          <w:b/>
          <w:bCs/>
          <w:color w:val="000000"/>
          <w:sz w:val="22"/>
          <w:szCs w:val="22"/>
          <w:lang w:val="sr-Latn-ME"/>
        </w:rPr>
      </w:pPr>
      <w:r>
        <w:rPr>
          <w:rFonts w:ascii="Arial" w:hAnsi="Arial" w:eastAsia="Calibri" w:cs="Arial"/>
          <w:color w:val="000000"/>
          <w:sz w:val="22"/>
          <w:szCs w:val="22"/>
          <w:lang w:val="sr-Latn-ME"/>
        </w:rPr>
        <w:sym w:font="Wingdings" w:char="F0A8"/>
      </w:r>
      <w:r>
        <w:rPr>
          <w:rFonts w:ascii="Arial" w:hAnsi="Arial" w:eastAsia="Calibri" w:cs="Arial"/>
          <w:color w:val="000000"/>
          <w:sz w:val="22"/>
          <w:szCs w:val="22"/>
          <w:lang w:val="sr-Latn-ME"/>
        </w:rPr>
        <w:t xml:space="preserve"> </w:t>
      </w:r>
      <w:r>
        <w:rPr>
          <w:rFonts w:ascii="Arial" w:hAnsi="Arial" w:eastAsia="Calibri" w:cs="Arial"/>
          <w:b/>
          <w:bCs/>
          <w:color w:val="000000"/>
          <w:sz w:val="22"/>
          <w:szCs w:val="22"/>
          <w:lang w:val="sr-Latn-ME"/>
        </w:rPr>
        <w:t>Procijenjena vrijednost predmeta nabavke bez zaključivanja okvirnog sporazuma</w:t>
      </w:r>
      <w:r>
        <w:rPr>
          <w:rFonts w:ascii="Arial" w:hAnsi="Arial" w:eastAsia="Calibri" w:cs="Arial"/>
          <w:color w:val="000000"/>
          <w:sz w:val="22"/>
          <w:szCs w:val="22"/>
          <w:lang w:val="sr-Latn-ME"/>
        </w:rPr>
        <w:t>:</w:t>
      </w:r>
    </w:p>
    <w:p w14:paraId="2C0D2422">
      <w:pPr>
        <w:spacing w:line="276" w:lineRule="auto"/>
        <w:jc w:val="both"/>
        <w:rPr>
          <w:rFonts w:ascii="Arial" w:hAnsi="Arial" w:eastAsia="Calibri" w:cs="Arial"/>
          <w:color w:val="000000"/>
          <w:sz w:val="22"/>
          <w:szCs w:val="22"/>
          <w:lang w:val="sr-Latn-ME"/>
        </w:rPr>
      </w:pPr>
      <w:r>
        <w:rPr>
          <w:rFonts w:ascii="Arial" w:hAnsi="Arial" w:eastAsia="Calibri" w:cs="Arial"/>
          <w:color w:val="000000"/>
          <w:sz w:val="22"/>
          <w:szCs w:val="22"/>
          <w:lang w:val="sr-Latn-ME"/>
        </w:rPr>
        <w:sym w:font="Wingdings" w:char="F0A8"/>
      </w:r>
      <w:r>
        <w:rPr>
          <w:rFonts w:ascii="Arial" w:hAnsi="Arial" w:eastAsia="Calibri" w:cs="Arial"/>
          <w:color w:val="000000"/>
          <w:sz w:val="22"/>
          <w:szCs w:val="22"/>
          <w:lang w:val="sr-Latn-ME"/>
        </w:rPr>
        <w:t xml:space="preserve"> kao cjeline je </w:t>
      </w:r>
      <w:r>
        <w:rPr>
          <w:rFonts w:ascii="Arial" w:hAnsi="Arial" w:eastAsia="Calibri" w:cs="Arial"/>
          <w:color w:val="000000"/>
          <w:sz w:val="22"/>
          <w:szCs w:val="22"/>
        </w:rPr>
        <w:t>1.</w:t>
      </w:r>
      <w:r>
        <w:rPr>
          <w:rFonts w:ascii="Arial" w:hAnsi="Arial" w:eastAsia="Calibri" w:cs="Arial"/>
          <w:color w:val="000000"/>
          <w:sz w:val="22"/>
          <w:szCs w:val="22"/>
          <w:lang w:val="sr-Latn-ME"/>
        </w:rPr>
        <w:t>1</w:t>
      </w:r>
      <w:r>
        <w:rPr>
          <w:rFonts w:hint="default" w:ascii="Arial" w:hAnsi="Arial" w:eastAsia="Calibri" w:cs="Arial"/>
          <w:color w:val="000000"/>
          <w:sz w:val="22"/>
          <w:szCs w:val="22"/>
          <w:lang w:val="sr-Latn-ME"/>
        </w:rPr>
        <w:t>5</w:t>
      </w:r>
      <w:r>
        <w:rPr>
          <w:rFonts w:ascii="Arial" w:hAnsi="Arial" w:eastAsia="Calibri" w:cs="Arial"/>
          <w:color w:val="000000"/>
          <w:sz w:val="22"/>
          <w:szCs w:val="22"/>
          <w:lang w:val="sr-Latn-ME"/>
        </w:rPr>
        <w:t>0</w:t>
      </w:r>
      <w:r>
        <w:rPr>
          <w:rFonts w:ascii="Arial" w:hAnsi="Arial" w:eastAsia="Calibri" w:cs="Arial"/>
          <w:color w:val="000000"/>
          <w:sz w:val="22"/>
          <w:szCs w:val="22"/>
        </w:rPr>
        <w:t>.</w:t>
      </w:r>
      <w:r>
        <w:rPr>
          <w:rFonts w:ascii="Arial" w:hAnsi="Arial" w:eastAsia="Calibri" w:cs="Arial"/>
          <w:color w:val="000000"/>
          <w:sz w:val="22"/>
          <w:szCs w:val="22"/>
          <w:lang w:val="sr-Latn-ME"/>
        </w:rPr>
        <w:t>000</w:t>
      </w:r>
      <w:r>
        <w:rPr>
          <w:rFonts w:ascii="Arial" w:hAnsi="Arial" w:eastAsia="Calibri" w:cs="Arial"/>
          <w:color w:val="000000"/>
          <w:sz w:val="22"/>
          <w:szCs w:val="22"/>
        </w:rPr>
        <w:t>,</w:t>
      </w:r>
      <w:r>
        <w:rPr>
          <w:rFonts w:ascii="Arial" w:hAnsi="Arial" w:eastAsia="Calibri" w:cs="Arial"/>
          <w:color w:val="000000"/>
          <w:sz w:val="22"/>
          <w:szCs w:val="22"/>
          <w:lang w:val="sr-Latn-ME"/>
        </w:rPr>
        <w:t>00</w:t>
      </w:r>
      <w:r>
        <w:rPr>
          <w:rFonts w:ascii="Arial" w:hAnsi="Arial" w:eastAsia="Calibri" w:cs="Arial"/>
          <w:color w:val="000000"/>
          <w:sz w:val="22"/>
          <w:szCs w:val="22"/>
        </w:rPr>
        <w:t xml:space="preserve"> </w:t>
      </w:r>
      <w:r>
        <w:rPr>
          <w:rFonts w:ascii="Arial" w:hAnsi="Arial" w:eastAsia="Calibri" w:cs="Arial"/>
          <w:color w:val="000000"/>
          <w:sz w:val="22"/>
          <w:szCs w:val="22"/>
          <w:lang w:val="sr-Latn-ME"/>
        </w:rPr>
        <w:t>€.</w:t>
      </w:r>
    </w:p>
    <w:p w14:paraId="7712FE5B">
      <w:pPr>
        <w:spacing w:line="276" w:lineRule="auto"/>
        <w:jc w:val="both"/>
        <w:rPr>
          <w:rFonts w:ascii="Arial" w:hAnsi="Arial" w:eastAsia="Calibri" w:cs="Arial"/>
          <w:color w:val="000000"/>
          <w:sz w:val="16"/>
          <w:szCs w:val="16"/>
          <w:lang w:val="sr-Latn-ME"/>
        </w:rPr>
      </w:pPr>
    </w:p>
    <w:p w14:paraId="4DEFE340">
      <w:pPr>
        <w:pBdr>
          <w:top w:val="single" w:color="auto" w:sz="4" w:space="1"/>
          <w:left w:val="single" w:color="auto" w:sz="4" w:space="0"/>
          <w:bottom w:val="single" w:color="auto" w:sz="4" w:space="1"/>
          <w:right w:val="single" w:color="auto" w:sz="4" w:space="4"/>
        </w:pBdr>
        <w:shd w:val="clear" w:color="auto" w:fill="D9D9D9"/>
        <w:spacing w:line="276" w:lineRule="auto"/>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r>
        <w:rPr>
          <w:rFonts w:ascii="Arial" w:hAnsi="Arial" w:cs="Arial"/>
          <w:color w:val="000000"/>
          <w:vertAlign w:val="superscript"/>
          <w:lang w:val="sr-Latn-ME"/>
        </w:rPr>
        <w:footnoteReference w:id="5"/>
      </w:r>
    </w:p>
    <w:p w14:paraId="06EDECE3">
      <w:pPr>
        <w:spacing w:before="240" w:line="276" w:lineRule="auto"/>
        <w:jc w:val="both"/>
        <w:rPr>
          <w:rFonts w:ascii="Arial" w:hAnsi="Arial" w:cs="Arial"/>
          <w:color w:val="000000"/>
          <w:lang w:val="sr-Latn-ME"/>
        </w:rPr>
      </w:pPr>
      <w:r>
        <w:rPr>
          <w:rFonts w:ascii="Arial" w:hAnsi="Arial" w:cs="Arial"/>
          <w:color w:val="000000"/>
          <w:lang w:val="sr-Latn-ME"/>
        </w:rPr>
        <w:t>Predmet javne nabavke je definisan kao cjelina i ne može se dijeliti po partijama.</w:t>
      </w:r>
    </w:p>
    <w:p w14:paraId="4209FA4E">
      <w:pPr>
        <w:spacing w:line="276" w:lineRule="auto"/>
        <w:jc w:val="both"/>
        <w:rPr>
          <w:rFonts w:ascii="Arial" w:hAnsi="Arial" w:cs="Arial"/>
          <w:color w:val="000000"/>
          <w:sz w:val="16"/>
          <w:szCs w:val="16"/>
          <w:lang w:val="sr-Latn-ME"/>
        </w:rPr>
      </w:pPr>
    </w:p>
    <w:p w14:paraId="429FCB37">
      <w:pPr>
        <w:pBdr>
          <w:top w:val="single" w:color="auto" w:sz="4" w:space="1"/>
          <w:left w:val="single" w:color="auto" w:sz="4" w:space="4"/>
          <w:bottom w:val="single" w:color="auto" w:sz="4" w:space="1"/>
          <w:right w:val="single" w:color="auto" w:sz="4" w:space="4"/>
        </w:pBdr>
        <w:shd w:val="clear" w:color="auto" w:fill="BFBFBF"/>
        <w:spacing w:line="276" w:lineRule="auto"/>
        <w:jc w:val="both"/>
        <w:rPr>
          <w:rFonts w:ascii="Arial" w:hAnsi="Arial" w:cs="Arial"/>
          <w:b/>
          <w:color w:val="000000"/>
          <w:lang w:val="sr-Latn-ME"/>
        </w:rPr>
      </w:pPr>
      <w:r>
        <w:rPr>
          <w:rFonts w:ascii="Arial" w:hAnsi="Arial" w:cs="Arial"/>
          <w:b/>
          <w:color w:val="000000"/>
          <w:lang w:val="sr-Latn-ME"/>
        </w:rPr>
        <w:t xml:space="preserve">PODACI O NARUČIOCIMA KOJI ZAKLJUČUJU ZAJEDNIČKU NABAVKU </w:t>
      </w:r>
    </w:p>
    <w:p w14:paraId="53AA89FC">
      <w:pPr>
        <w:spacing w:line="276" w:lineRule="auto"/>
        <w:jc w:val="both"/>
        <w:rPr>
          <w:rFonts w:ascii="Arial" w:hAnsi="Arial" w:cs="Arial"/>
          <w:color w:val="000000"/>
          <w:sz w:val="16"/>
          <w:szCs w:val="16"/>
          <w:lang w:val="sr-Latn-ME"/>
        </w:rPr>
      </w:pPr>
    </w:p>
    <w:p w14:paraId="523B5A94">
      <w:pPr>
        <w:spacing w:line="276" w:lineRule="auto"/>
        <w:jc w:val="both"/>
        <w:rPr>
          <w:rFonts w:ascii="Arial" w:hAnsi="Arial" w:cs="Arial"/>
          <w:color w:val="000000"/>
          <w:lang w:val="sr-Latn-ME"/>
        </w:rPr>
      </w:pPr>
      <w:r>
        <w:rPr>
          <w:rFonts w:ascii="Arial" w:hAnsi="Arial" w:cs="Arial"/>
          <w:color w:val="000000"/>
          <w:lang w:val="sr-Latn-ME"/>
        </w:rPr>
        <w:t>Nije primjenljivo.</w:t>
      </w:r>
    </w:p>
    <w:p w14:paraId="7390F951">
      <w:pPr>
        <w:spacing w:line="276" w:lineRule="auto"/>
        <w:jc w:val="both"/>
        <w:rPr>
          <w:rFonts w:ascii="Arial" w:hAnsi="Arial" w:cs="Arial"/>
          <w:color w:val="000000"/>
          <w:sz w:val="16"/>
          <w:szCs w:val="16"/>
          <w:lang w:val="sr-Latn-ME"/>
        </w:rPr>
      </w:pPr>
    </w:p>
    <w:p w14:paraId="4A0ECE96">
      <w:pPr>
        <w:pBdr>
          <w:top w:val="single" w:color="auto" w:sz="4" w:space="1"/>
          <w:left w:val="single" w:color="auto" w:sz="4" w:space="0"/>
          <w:bottom w:val="single" w:color="auto" w:sz="4" w:space="1"/>
          <w:right w:val="single" w:color="auto" w:sz="4" w:space="4"/>
        </w:pBdr>
        <w:shd w:val="clear" w:color="auto" w:fill="BFBFBF"/>
        <w:spacing w:line="276" w:lineRule="auto"/>
        <w:jc w:val="both"/>
        <w:rPr>
          <w:rFonts w:ascii="Arial" w:hAnsi="Arial" w:cs="Arial"/>
          <w:b/>
          <w:color w:val="000000"/>
          <w:lang w:val="sr-Latn-ME"/>
        </w:rPr>
      </w:pPr>
      <w:r>
        <w:rPr>
          <w:rFonts w:ascii="Arial" w:hAnsi="Arial" w:cs="Arial"/>
          <w:b/>
          <w:color w:val="000000"/>
          <w:lang w:val="sr-Latn-ME"/>
        </w:rPr>
        <w:t>PODACI O NARUČIOCIMA KOJI SU UKLJUČENI U CENTRALIZOVANU NABAVKU</w:t>
      </w:r>
    </w:p>
    <w:p w14:paraId="35181CC5">
      <w:pPr>
        <w:spacing w:line="276" w:lineRule="auto"/>
        <w:jc w:val="both"/>
        <w:rPr>
          <w:rFonts w:ascii="Arial" w:hAnsi="Arial" w:cs="Arial"/>
          <w:sz w:val="16"/>
          <w:szCs w:val="16"/>
          <w:lang w:val="sr-Latn-ME"/>
        </w:rPr>
      </w:pPr>
    </w:p>
    <w:p w14:paraId="23B0AC67">
      <w:pPr>
        <w:spacing w:line="276" w:lineRule="auto"/>
        <w:jc w:val="both"/>
        <w:rPr>
          <w:rFonts w:ascii="Arial" w:hAnsi="Arial" w:cs="Arial"/>
          <w:color w:val="000000"/>
          <w:lang w:val="sr-Latn-ME"/>
        </w:rPr>
      </w:pPr>
      <w:r>
        <w:rPr>
          <w:rFonts w:ascii="Arial" w:hAnsi="Arial" w:cs="Arial"/>
          <w:color w:val="000000"/>
          <w:lang w:val="sr-Latn-ME"/>
        </w:rPr>
        <w:t>Nije primjenljivo</w:t>
      </w:r>
    </w:p>
    <w:p w14:paraId="4D37A659">
      <w:pPr>
        <w:spacing w:line="276" w:lineRule="auto"/>
        <w:jc w:val="both"/>
        <w:rPr>
          <w:rFonts w:ascii="Arial" w:hAnsi="Arial" w:cs="Arial"/>
          <w:color w:val="000000"/>
          <w:sz w:val="16"/>
          <w:szCs w:val="16"/>
          <w:lang w:val="sr-Latn-ME"/>
        </w:rPr>
      </w:pPr>
    </w:p>
    <w:p w14:paraId="4BD2C28F">
      <w:pPr>
        <w:pBdr>
          <w:top w:val="single" w:color="auto" w:sz="4" w:space="1"/>
          <w:left w:val="single" w:color="auto" w:sz="4" w:space="4"/>
          <w:bottom w:val="single" w:color="auto" w:sz="4" w:space="1"/>
          <w:right w:val="single" w:color="auto" w:sz="4" w:space="4"/>
        </w:pBdr>
        <w:shd w:val="clear" w:color="auto" w:fill="D9D9D9"/>
        <w:spacing w:line="276" w:lineRule="auto"/>
        <w:rPr>
          <w:rFonts w:ascii="Arial" w:hAnsi="Arial" w:cs="Arial"/>
          <w:b/>
          <w:lang w:val="sr-Latn-ME"/>
        </w:rPr>
      </w:pPr>
      <w:r>
        <w:rPr>
          <w:rFonts w:ascii="Arial" w:hAnsi="Arial" w:cs="Arial"/>
          <w:b/>
          <w:lang w:val="sr-Latn-ME"/>
        </w:rPr>
        <w:t>NAČIN SPROVOĐENJA ELEKTRONSKE AUKCIJE</w:t>
      </w:r>
    </w:p>
    <w:p w14:paraId="6F7ECB4D">
      <w:pPr>
        <w:spacing w:line="276" w:lineRule="auto"/>
        <w:jc w:val="both"/>
        <w:rPr>
          <w:rFonts w:ascii="Arial" w:hAnsi="Arial" w:cs="Arial"/>
          <w:sz w:val="16"/>
          <w:szCs w:val="16"/>
          <w:lang w:val="sr-Latn-ME"/>
        </w:rPr>
      </w:pPr>
    </w:p>
    <w:p w14:paraId="32115EAA">
      <w:pPr>
        <w:spacing w:line="276" w:lineRule="auto"/>
        <w:jc w:val="both"/>
        <w:rPr>
          <w:rFonts w:ascii="Arial" w:hAnsi="Arial" w:cs="Arial"/>
          <w:color w:val="000000"/>
          <w:lang w:val="sr-Latn-ME"/>
        </w:rPr>
      </w:pPr>
      <w:r>
        <w:rPr>
          <w:rFonts w:ascii="Arial" w:hAnsi="Arial" w:cs="Arial"/>
          <w:color w:val="000000"/>
          <w:lang w:val="sr-Latn-ME"/>
        </w:rPr>
        <w:t>Nije primjenljivo</w:t>
      </w:r>
    </w:p>
    <w:p w14:paraId="1BDBBD40">
      <w:pPr>
        <w:spacing w:line="276" w:lineRule="auto"/>
        <w:jc w:val="both"/>
        <w:rPr>
          <w:rFonts w:ascii="Arial" w:hAnsi="Arial" w:cs="Arial"/>
          <w:color w:val="000000"/>
          <w:sz w:val="16"/>
          <w:szCs w:val="16"/>
          <w:lang w:val="sr-Latn-ME"/>
        </w:rPr>
      </w:pPr>
    </w:p>
    <w:p w14:paraId="5F697E3E">
      <w:pPr>
        <w:pBdr>
          <w:top w:val="single" w:color="auto" w:sz="4" w:space="1"/>
          <w:left w:val="single" w:color="auto" w:sz="4" w:space="4"/>
          <w:bottom w:val="single" w:color="auto" w:sz="4" w:space="1"/>
          <w:right w:val="single" w:color="auto" w:sz="4" w:space="4"/>
        </w:pBdr>
        <w:shd w:val="clear" w:color="auto" w:fill="D9D9D9"/>
        <w:spacing w:line="276" w:lineRule="auto"/>
        <w:rPr>
          <w:rFonts w:ascii="Arial" w:hAnsi="Arial" w:cs="Arial"/>
          <w:b/>
          <w:color w:val="FF0000"/>
          <w:lang w:val="sr-Latn-ME"/>
        </w:rPr>
      </w:pPr>
      <w:r>
        <w:rPr>
          <w:rFonts w:ascii="Arial" w:hAnsi="Arial" w:cs="Arial"/>
          <w:b/>
          <w:lang w:val="sr-Latn-ME"/>
        </w:rPr>
        <w:t>ELEKTRONSKI KATALOG</w:t>
      </w:r>
      <w:r>
        <w:rPr>
          <w:rFonts w:ascii="Arial" w:hAnsi="Arial" w:cs="Arial"/>
          <w:b/>
          <w:color w:val="FF0000"/>
          <w:lang w:val="sr-Latn-ME"/>
        </w:rPr>
        <w:t xml:space="preserve"> </w:t>
      </w:r>
    </w:p>
    <w:p w14:paraId="6D1CEC3C">
      <w:pPr>
        <w:spacing w:line="276" w:lineRule="auto"/>
        <w:jc w:val="both"/>
        <w:rPr>
          <w:rFonts w:ascii="Arial" w:hAnsi="Arial" w:cs="Arial"/>
          <w:color w:val="FF0000"/>
          <w:sz w:val="16"/>
          <w:szCs w:val="16"/>
          <w:lang w:val="sr-Latn-ME"/>
        </w:rPr>
      </w:pPr>
    </w:p>
    <w:p w14:paraId="6E475114">
      <w:pPr>
        <w:spacing w:line="276" w:lineRule="auto"/>
        <w:jc w:val="both"/>
        <w:rPr>
          <w:rFonts w:ascii="Arial" w:hAnsi="Arial" w:cs="Arial"/>
          <w:color w:val="000000"/>
          <w:lang w:val="sr-Latn-ME"/>
        </w:rPr>
      </w:pPr>
      <w:bookmarkStart w:id="3" w:name="_Hlk210131335"/>
      <w:r>
        <w:rPr>
          <w:rFonts w:ascii="Arial" w:hAnsi="Arial" w:cs="Arial"/>
          <w:color w:val="000000"/>
          <w:lang w:val="sr-Latn-ME"/>
        </w:rPr>
        <w:t>Nije primjenljivo</w:t>
      </w:r>
      <w:bookmarkEnd w:id="3"/>
    </w:p>
    <w:p w14:paraId="7DEDEC69">
      <w:pPr>
        <w:spacing w:line="276" w:lineRule="auto"/>
        <w:jc w:val="both"/>
        <w:rPr>
          <w:rFonts w:ascii="Arial" w:hAnsi="Arial" w:cs="Arial"/>
          <w:color w:val="000000"/>
          <w:sz w:val="16"/>
          <w:szCs w:val="16"/>
          <w:lang w:val="sr-Latn-ME"/>
        </w:rPr>
      </w:pPr>
    </w:p>
    <w:p w14:paraId="67F42C5B">
      <w:pPr>
        <w:pBdr>
          <w:top w:val="single" w:color="auto" w:sz="4" w:space="1"/>
          <w:left w:val="single" w:color="auto" w:sz="4" w:space="4"/>
          <w:bottom w:val="single" w:color="auto" w:sz="4" w:space="1"/>
          <w:right w:val="single" w:color="auto" w:sz="4" w:space="4"/>
        </w:pBdr>
        <w:shd w:val="clear" w:color="auto" w:fill="D9D9D9"/>
        <w:spacing w:line="276" w:lineRule="auto"/>
        <w:rPr>
          <w:rFonts w:ascii="Arial" w:hAnsi="Arial" w:cs="Arial"/>
          <w:b/>
          <w:lang w:val="sr-Latn-ME"/>
        </w:rPr>
      </w:pPr>
      <w:r>
        <w:rPr>
          <w:rFonts w:ascii="Arial" w:hAnsi="Arial" w:cs="Arial"/>
          <w:b/>
          <w:lang w:val="sr-Latn-ME"/>
        </w:rPr>
        <w:t>PONUDA SA VARIJANTAMA</w:t>
      </w:r>
    </w:p>
    <w:p w14:paraId="1D5681BE">
      <w:pPr>
        <w:spacing w:line="276" w:lineRule="auto"/>
        <w:jc w:val="both"/>
        <w:rPr>
          <w:rFonts w:ascii="Arial" w:hAnsi="Arial" w:cs="Arial"/>
          <w:b/>
          <w:bCs/>
          <w:color w:val="000000"/>
          <w:sz w:val="16"/>
          <w:szCs w:val="16"/>
          <w:lang w:val="sr-Latn-ME"/>
        </w:rPr>
      </w:pPr>
    </w:p>
    <w:p w14:paraId="3C0A168F">
      <w:pPr>
        <w:spacing w:line="276" w:lineRule="auto"/>
        <w:jc w:val="both"/>
        <w:rPr>
          <w:rFonts w:ascii="Arial" w:hAnsi="Arial" w:cs="Arial"/>
          <w:lang w:val="sr-Latn-ME"/>
        </w:rPr>
      </w:pPr>
      <w:r>
        <w:rPr>
          <w:rFonts w:ascii="Arial" w:hAnsi="Arial" w:cs="Arial"/>
          <w:lang w:val="sr-Latn-ME"/>
        </w:rPr>
        <w:t>Mogućnost podnošenja ponude sa varijantama</w:t>
      </w:r>
    </w:p>
    <w:p w14:paraId="0C74D204">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lang w:val="sr-Latn-ME"/>
        </w:rPr>
        <w:t>Varijante ponude nijesu dozvoljene i neće biti razmatrane.</w:t>
      </w:r>
    </w:p>
    <w:p w14:paraId="45FED6FA">
      <w:pPr>
        <w:spacing w:line="276" w:lineRule="auto"/>
        <w:jc w:val="both"/>
        <w:rPr>
          <w:rFonts w:ascii="Arial" w:hAnsi="Arial" w:cs="Arial"/>
          <w:color w:val="000000"/>
          <w:sz w:val="16"/>
          <w:szCs w:val="16"/>
          <w:lang w:val="sr-Latn-ME"/>
        </w:rPr>
      </w:pPr>
    </w:p>
    <w:p w14:paraId="78A9A0E4">
      <w:pPr>
        <w:pBdr>
          <w:top w:val="single" w:color="auto" w:sz="4" w:space="1"/>
          <w:left w:val="single" w:color="auto" w:sz="4" w:space="4"/>
          <w:bottom w:val="single" w:color="auto" w:sz="4" w:space="1"/>
          <w:right w:val="single" w:color="auto" w:sz="4" w:space="4"/>
        </w:pBdr>
        <w:shd w:val="clear" w:color="auto" w:fill="D9D9D9"/>
        <w:spacing w:line="276" w:lineRule="auto"/>
        <w:jc w:val="both"/>
        <w:rPr>
          <w:rFonts w:ascii="Arial" w:hAnsi="Arial" w:cs="Arial"/>
          <w:b/>
          <w:lang w:val="sr-Latn-ME"/>
        </w:rPr>
      </w:pPr>
      <w:r>
        <w:rPr>
          <w:rFonts w:ascii="Arial" w:hAnsi="Arial" w:cs="Arial"/>
          <w:b/>
          <w:lang w:val="sr-Latn-ME"/>
        </w:rPr>
        <w:t>REZERVISANA NABAVKA</w:t>
      </w:r>
    </w:p>
    <w:p w14:paraId="1E8E48EF">
      <w:pPr>
        <w:spacing w:line="276" w:lineRule="auto"/>
        <w:jc w:val="both"/>
        <w:rPr>
          <w:rFonts w:ascii="Arial" w:hAnsi="Arial" w:cs="Arial"/>
          <w:b/>
          <w:bCs/>
          <w:color w:val="FF0000"/>
          <w:sz w:val="16"/>
          <w:szCs w:val="16"/>
          <w:lang w:val="sr-Latn-ME"/>
        </w:rPr>
      </w:pPr>
    </w:p>
    <w:p w14:paraId="7439A916">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14:paraId="025F86E8">
      <w:pPr>
        <w:spacing w:line="276" w:lineRule="auto"/>
        <w:jc w:val="both"/>
        <w:rPr>
          <w:rFonts w:ascii="Arial" w:hAnsi="Arial" w:cs="Arial"/>
          <w:color w:val="000000"/>
          <w:sz w:val="16"/>
          <w:szCs w:val="16"/>
          <w:lang w:val="sr-Latn-ME"/>
        </w:rPr>
      </w:pPr>
    </w:p>
    <w:p w14:paraId="631896F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line="276" w:lineRule="auto"/>
        <w:ind w:left="296" w:leftChars="0" w:firstLineChars="0"/>
        <w:jc w:val="both"/>
        <w:outlineLvl w:val="0"/>
        <w:rPr>
          <w:rFonts w:ascii="Arial" w:hAnsi="Arial"/>
          <w:b/>
          <w:szCs w:val="32"/>
          <w:lang w:val="sr-Latn-ME"/>
        </w:rPr>
      </w:pPr>
      <w:bookmarkStart w:id="4" w:name="_Toc62730556"/>
      <w:r>
        <w:rPr>
          <w:rFonts w:ascii="Arial" w:hAnsi="Arial"/>
          <w:b/>
          <w:szCs w:val="32"/>
          <w:lang w:val="sr-Latn-ME"/>
        </w:rPr>
        <w:t>NAČIN UTVRĐIVANJA EKVIVALENTNOSTI</w:t>
      </w:r>
      <w:bookmarkEnd w:id="4"/>
    </w:p>
    <w:p w14:paraId="38C17A9B">
      <w:pPr>
        <w:spacing w:line="276" w:lineRule="auto"/>
        <w:jc w:val="both"/>
        <w:rPr>
          <w:rFonts w:ascii="Arial" w:hAnsi="Arial" w:cs="Arial"/>
          <w:bCs/>
          <w:sz w:val="16"/>
          <w:szCs w:val="16"/>
          <w:lang w:val="sr-Latn-ME"/>
        </w:rPr>
      </w:pPr>
    </w:p>
    <w:p w14:paraId="7D047DB0">
      <w:pPr>
        <w:spacing w:line="276" w:lineRule="auto"/>
        <w:jc w:val="both"/>
        <w:rPr>
          <w:rFonts w:ascii="Arial" w:hAnsi="Arial" w:cs="Arial"/>
          <w:bCs/>
          <w:lang w:val="sr-Latn-ME"/>
        </w:rPr>
      </w:pPr>
      <w:r>
        <w:rPr>
          <w:rFonts w:ascii="Arial" w:hAnsi="Arial" w:cs="Arial"/>
          <w:bCs/>
          <w:lang w:val="sr-Latn-ME"/>
        </w:rPr>
        <w:t>Nije primjenljivo</w:t>
      </w:r>
    </w:p>
    <w:p w14:paraId="603E847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296" w:leftChars="0" w:firstLineChars="0"/>
        <w:outlineLvl w:val="0"/>
        <w:rPr>
          <w:rFonts w:ascii="Arial" w:hAnsi="Arial"/>
          <w:b/>
          <w:szCs w:val="32"/>
          <w:lang w:val="sr-Latn-ME"/>
        </w:rPr>
      </w:pPr>
      <w:bookmarkStart w:id="5" w:name="_Toc62730557"/>
      <w:r>
        <w:rPr>
          <w:rFonts w:ascii="Arial" w:hAnsi="Arial"/>
          <w:b/>
          <w:szCs w:val="32"/>
          <w:lang w:val="sr-Latn-ME"/>
        </w:rPr>
        <w:t>OSNOVI ZA OBAVEZNO ISKLJUČENJE IZ POSTUPKA JAVNE NABAVKE</w:t>
      </w:r>
      <w:bookmarkEnd w:id="5"/>
    </w:p>
    <w:p w14:paraId="596DF392">
      <w:pPr>
        <w:spacing w:line="276" w:lineRule="auto"/>
        <w:jc w:val="both"/>
        <w:rPr>
          <w:rFonts w:ascii="Arial" w:hAnsi="Arial" w:cs="Arial"/>
          <w:sz w:val="16"/>
          <w:szCs w:val="16"/>
          <w:lang w:val="sr-Latn-ME"/>
        </w:rPr>
      </w:pPr>
    </w:p>
    <w:p w14:paraId="6A261668">
      <w:pPr>
        <w:spacing w:line="276" w:lineRule="auto"/>
        <w:rPr>
          <w:rFonts w:ascii="Arial" w:hAnsi="Arial" w:cs="Arial"/>
          <w:lang w:val="sr-Latn-ME"/>
        </w:rPr>
      </w:pPr>
      <w:r>
        <w:rPr>
          <w:rFonts w:ascii="Arial" w:hAnsi="Arial" w:cs="Arial"/>
          <w:lang w:val="sr-Latn-ME"/>
        </w:rPr>
        <w:t xml:space="preserve">Privredni subjekat će se isključiti iz postupka javne nabavke, ako: </w:t>
      </w:r>
    </w:p>
    <w:p w14:paraId="523682F9">
      <w:pPr>
        <w:numPr>
          <w:ilvl w:val="0"/>
          <w:numId w:val="6"/>
        </w:numPr>
        <w:spacing w:line="276" w:lineRule="auto"/>
        <w:rPr>
          <w:rFonts w:ascii="Arial" w:hAnsi="Arial" w:cs="Arial"/>
          <w:lang w:val="sr-Latn-ME"/>
        </w:rPr>
      </w:pPr>
      <w:bookmarkStart w:id="6" w:name="_Toc62730558"/>
      <w:r>
        <w:rPr>
          <w:rFonts w:ascii="Arial" w:hAnsi="Arial" w:cs="Arial"/>
          <w:lang w:val="sr-Latn-ME"/>
        </w:rPr>
        <w:t>je vršio neprimjeren uticaj u smislu člana 38 stav 2 tačka 1 ovog zakona;</w:t>
      </w:r>
    </w:p>
    <w:p w14:paraId="104B7994">
      <w:pPr>
        <w:numPr>
          <w:ilvl w:val="0"/>
          <w:numId w:val="6"/>
        </w:numPr>
        <w:spacing w:line="276" w:lineRule="auto"/>
        <w:rPr>
          <w:rFonts w:ascii="Arial" w:hAnsi="Arial" w:cs="Arial"/>
          <w:lang w:val="sr-Latn-ME"/>
        </w:rPr>
      </w:pPr>
      <w:r>
        <w:rPr>
          <w:rFonts w:ascii="Arial" w:hAnsi="Arial" w:cs="Arial"/>
          <w:lang w:val="sr-Latn-ME"/>
        </w:rPr>
        <w:t>postoji sukob interesa iz člana 41 stav 1 tačka 2 ili člana 42 ovog zakona;</w:t>
      </w:r>
    </w:p>
    <w:p w14:paraId="3A83E48E">
      <w:pPr>
        <w:numPr>
          <w:ilvl w:val="0"/>
          <w:numId w:val="6"/>
        </w:numPr>
        <w:spacing w:line="276" w:lineRule="auto"/>
        <w:rPr>
          <w:rFonts w:ascii="Arial" w:hAnsi="Arial" w:cs="Arial"/>
          <w:lang w:val="sr-Latn-ME"/>
        </w:rPr>
      </w:pPr>
      <w:r>
        <w:rPr>
          <w:rFonts w:ascii="Arial" w:hAnsi="Arial" w:cs="Arial"/>
          <w:lang w:val="sr-Latn-ME"/>
        </w:rPr>
        <w:t>ne ispunjava uslov iz člana 99 ovog zakona;</w:t>
      </w:r>
    </w:p>
    <w:p w14:paraId="70E3E17E">
      <w:pPr>
        <w:numPr>
          <w:ilvl w:val="0"/>
          <w:numId w:val="6"/>
        </w:numPr>
        <w:spacing w:line="276" w:lineRule="auto"/>
        <w:rPr>
          <w:rFonts w:ascii="Arial" w:hAnsi="Arial" w:cs="Arial"/>
          <w:lang w:val="sr-Latn-ME"/>
        </w:rPr>
      </w:pPr>
      <w:r>
        <w:rPr>
          <w:rFonts w:ascii="Arial" w:hAnsi="Arial" w:cs="Arial"/>
          <w:lang w:val="sr-Latn-ME"/>
        </w:rPr>
        <w:t>ne ispunjava uslov iz čl. 102, 104 ili 106 ovog zakona predviđen tenderskom dokumentacijom;</w:t>
      </w:r>
    </w:p>
    <w:p w14:paraId="714E8AAB">
      <w:pPr>
        <w:numPr>
          <w:ilvl w:val="0"/>
          <w:numId w:val="6"/>
        </w:numPr>
        <w:spacing w:line="276" w:lineRule="auto"/>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D2AB189">
      <w:pPr>
        <w:numPr>
          <w:ilvl w:val="0"/>
          <w:numId w:val="6"/>
        </w:numPr>
        <w:spacing w:line="276" w:lineRule="auto"/>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19E9D8DF">
      <w:pPr>
        <w:numPr>
          <w:ilvl w:val="0"/>
          <w:numId w:val="6"/>
        </w:numPr>
        <w:spacing w:line="276" w:lineRule="auto"/>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F8526B5">
      <w:pPr>
        <w:numPr>
          <w:ilvl w:val="0"/>
          <w:numId w:val="6"/>
        </w:numPr>
        <w:spacing w:line="276" w:lineRule="auto"/>
        <w:rPr>
          <w:rFonts w:ascii="Arial" w:hAnsi="Arial" w:cs="Arial"/>
          <w:lang w:val="sr-Latn-ME"/>
        </w:rPr>
      </w:pPr>
      <w:r>
        <w:rPr>
          <w:rFonts w:ascii="Arial" w:hAnsi="Arial" w:cs="Arial"/>
          <w:lang w:val="sr-Latn-ME"/>
        </w:rPr>
        <w:t>postoji drugi razlog propisan ovim zakonom.</w:t>
      </w:r>
    </w:p>
    <w:p w14:paraId="260EAA5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szCs w:val="32"/>
          <w:lang w:val="sr-Latn-ME"/>
        </w:rPr>
      </w:pPr>
      <w:r>
        <w:rPr>
          <w:rFonts w:ascii="Arial" w:hAnsi="Arial"/>
          <w:b/>
          <w:szCs w:val="32"/>
          <w:lang w:val="sr-Latn-ME"/>
        </w:rPr>
        <w:t>SREDSTVA FINANSIJSKOG OBEZBJEĐENJA UGOVORA O JAVNOJ NABAVCI</w:t>
      </w:r>
      <w:bookmarkEnd w:id="6"/>
      <w:r>
        <w:rPr>
          <w:rFonts w:ascii="Arial" w:hAnsi="Arial"/>
          <w:b/>
          <w:szCs w:val="32"/>
          <w:lang w:val="sr-Latn-ME"/>
        </w:rPr>
        <w:t xml:space="preserve"> </w:t>
      </w:r>
    </w:p>
    <w:p w14:paraId="2C836C73">
      <w:pPr>
        <w:spacing w:line="276" w:lineRule="auto"/>
        <w:jc w:val="both"/>
        <w:rPr>
          <w:rFonts w:ascii="Arial" w:hAnsi="Arial" w:cs="Arial"/>
          <w:color w:val="000000"/>
          <w:lang w:val="sr-Latn-ME"/>
        </w:rPr>
      </w:pPr>
    </w:p>
    <w:p w14:paraId="48E449E6">
      <w:pPr>
        <w:spacing w:line="276" w:lineRule="auto"/>
        <w:jc w:val="both"/>
        <w:rPr>
          <w:rFonts w:ascii="Arial" w:hAnsi="Arial" w:cs="Arial"/>
          <w:color w:val="000000"/>
          <w:lang w:val="sr-Latn-ME"/>
        </w:rPr>
      </w:pPr>
      <w:r>
        <w:rPr>
          <w:rFonts w:ascii="Arial" w:hAnsi="Arial" w:cs="Arial"/>
          <w:color w:val="000000"/>
          <w:lang w:val="sr-Latn-ME"/>
        </w:rPr>
        <w:t>Ponuđač čija ponuda bude izabrana kao najpovoljnija je dužan da uz potpisan ugovor o javnoj nabavci dostavi naručiocu:</w:t>
      </w:r>
    </w:p>
    <w:p w14:paraId="204708C1">
      <w:pPr>
        <w:spacing w:line="276" w:lineRule="auto"/>
        <w:jc w:val="both"/>
        <w:rPr>
          <w:rFonts w:ascii="Arial" w:hAnsi="Arial" w:cs="Arial"/>
          <w:color w:val="000000"/>
          <w:lang w:val="sr-Latn-ME"/>
        </w:rPr>
      </w:pPr>
    </w:p>
    <w:p w14:paraId="7E3D1F2E">
      <w:pPr>
        <w:spacing w:line="276" w:lineRule="auto"/>
        <w:jc w:val="both"/>
        <w:rPr>
          <w:rFonts w:ascii="Arial" w:hAnsi="Arial" w:cs="Arial"/>
          <w:b/>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bookmarkStart w:id="7" w:name="_Hlk154475885"/>
      <w:r>
        <w:rPr>
          <w:rFonts w:ascii="Arial" w:hAnsi="Arial" w:cs="Arial"/>
          <w:color w:val="000000"/>
          <w:lang w:val="sr-Latn-ME"/>
        </w:rPr>
        <w:t>avansnu garanciju u iznosu ugovorenog avansa sa uračunatim PDV-om, sa rokom važenja za vrijeme ukupnog trajanja ugovora.</w:t>
      </w:r>
      <w:bookmarkEnd w:id="7"/>
    </w:p>
    <w:p w14:paraId="048DD8EF">
      <w:pPr>
        <w:spacing w:line="276" w:lineRule="auto"/>
        <w:jc w:val="both"/>
        <w:rPr>
          <w:rFonts w:ascii="Arial" w:hAnsi="Arial" w:cs="Arial"/>
          <w:color w:val="000000"/>
          <w:lang w:val="sr-Latn-ME"/>
        </w:rPr>
      </w:pPr>
      <w:bookmarkStart w:id="8" w:name="_Hlk207973199"/>
      <w:bookmarkStart w:id="9" w:name="_Hlk168430756"/>
    </w:p>
    <w:p w14:paraId="09E2158F">
      <w:pPr>
        <w:spacing w:line="276" w:lineRule="auto"/>
        <w:jc w:val="both"/>
        <w:rPr>
          <w:rFonts w:ascii="Arial" w:hAnsi="Arial" w:cs="Arial"/>
          <w:color w:val="000000"/>
          <w:lang w:val="sr-Latn-ME"/>
        </w:rPr>
      </w:pPr>
      <w:r>
        <w:rPr>
          <w:rFonts w:ascii="Arial" w:hAnsi="Arial" w:cs="Arial"/>
          <w:color w:val="000000"/>
          <w:lang w:val="sr-Latn-ME"/>
        </w:rPr>
        <w:sym w:font="Wingdings" w:char="F0A8"/>
      </w:r>
      <w:bookmarkEnd w:id="8"/>
      <w:r>
        <w:rPr>
          <w:rFonts w:ascii="Arial" w:hAnsi="Arial" w:cs="Arial"/>
          <w:color w:val="000000"/>
          <w:lang w:val="sr-Latn-ME"/>
        </w:rPr>
        <w:t xml:space="preserve"> </w:t>
      </w:r>
      <w:bookmarkEnd w:id="9"/>
      <w:r>
        <w:rPr>
          <w:rFonts w:ascii="Arial" w:hAnsi="Arial" w:cs="Arial"/>
          <w:color w:val="000000"/>
          <w:lang w:val="sr-Latn-ME"/>
        </w:rPr>
        <w:t>garanciju za dobro izvršenje ugovora, za slučaj povrede ugovorenih obaveza u iznosu od 10</w:t>
      </w:r>
      <w:r>
        <w:rPr>
          <w:rFonts w:ascii="Arial" w:hAnsi="Arial" w:cs="Arial"/>
          <w:bCs/>
          <w:color w:val="000000"/>
          <w:lang w:val="sr-Latn-ME"/>
        </w:rPr>
        <w:t>%</w:t>
      </w:r>
      <w:r>
        <w:rPr>
          <w:rFonts w:ascii="Arial" w:hAnsi="Arial" w:cs="Arial"/>
          <w:color w:val="000000"/>
          <w:lang w:val="sr-Latn-ME"/>
        </w:rPr>
        <w:t xml:space="preserve"> od vrijednosti ugovora</w:t>
      </w:r>
      <w:r>
        <w:rPr>
          <w:rFonts w:ascii="Arial" w:hAnsi="Arial" w:cs="Arial"/>
          <w:color w:val="000000"/>
          <w:vertAlign w:val="superscript"/>
          <w:lang w:val="sr-Latn-ME"/>
        </w:rPr>
        <w:t xml:space="preserve"> </w:t>
      </w:r>
      <w:r>
        <w:rPr>
          <w:rFonts w:ascii="Arial" w:hAnsi="Arial" w:cs="Arial"/>
          <w:color w:val="000000"/>
          <w:lang w:val="sr-Latn-ME"/>
        </w:rPr>
        <w:t>sa rokom važenja 30 dana dužim od ugovorenog roka.</w:t>
      </w:r>
    </w:p>
    <w:p w14:paraId="4161CD84">
      <w:pPr>
        <w:spacing w:line="276" w:lineRule="auto"/>
        <w:jc w:val="both"/>
        <w:rPr>
          <w:rFonts w:ascii="Arial" w:hAnsi="Arial" w:cs="Arial"/>
          <w:color w:val="000000"/>
          <w:lang w:val="sr-Latn-ME"/>
        </w:rPr>
      </w:pPr>
    </w:p>
    <w:p w14:paraId="60160E21">
      <w:pPr>
        <w:spacing w:line="276" w:lineRule="auto"/>
        <w:jc w:val="both"/>
        <w:rPr>
          <w:rFonts w:ascii="Arial" w:hAnsi="Arial" w:cs="Arial"/>
          <w:color w:val="000000"/>
          <w:lang w:val="sr-Latn-ME"/>
        </w:rPr>
      </w:pPr>
      <w:r>
        <w:rPr>
          <w:rFonts w:ascii="Arial" w:hAnsi="Arial" w:cs="Arial"/>
          <w:color w:val="auto"/>
          <w:highlight w:val="none"/>
          <w:shd w:val="clear" w:color="auto" w:fill="auto"/>
          <w:lang w:val="sr-Latn-ME"/>
        </w:rPr>
        <w:t>Dobavljač je dužan da potpisivanjem zapisnika o tehničkom prijemu,</w:t>
      </w:r>
      <w:r>
        <w:rPr>
          <w:rFonts w:ascii="Arial" w:hAnsi="Arial" w:cs="Arial"/>
          <w:color w:val="000000"/>
          <w:lang w:val="sr-Latn-ME"/>
        </w:rPr>
        <w:t xml:space="preserve"> dostavi Naručiocu:</w:t>
      </w:r>
    </w:p>
    <w:p w14:paraId="15F6185C">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garanciju za otklanjanje nedostataka u garantnom roku, u iznosu od 10% od ugovorene vrijednosti, sa rokom važenja 10 dana duže od garantnog roka, za slučaj da u garantnom roku ne ispuni obaveze na koje se garancija odnosi, kojom bezuslovno i neopozivo garantuje potpuno i savjesno izvršenje ugovorenih obaveza za vrijeme trajanja garantnog roka.</w:t>
      </w:r>
    </w:p>
    <w:p w14:paraId="7BEBFEF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76" w:lineRule="auto"/>
        <w:ind w:left="1080" w:leftChars="0" w:hanging="630" w:firstLineChars="0"/>
        <w:outlineLvl w:val="0"/>
        <w:rPr>
          <w:rFonts w:ascii="Arial" w:hAnsi="Arial" w:cs="Arial"/>
          <w:b/>
          <w:color w:val="000000"/>
          <w:lang w:val="sr-Latn-ME"/>
        </w:rPr>
      </w:pPr>
      <w:bookmarkStart w:id="10" w:name="_Toc62730559"/>
      <w:r>
        <w:rPr>
          <w:rFonts w:ascii="Arial" w:hAnsi="Arial" w:cs="Arial"/>
          <w:b/>
          <w:lang w:val="sr-Latn-ME"/>
        </w:rPr>
        <w:t>METODOLOGIJA VREDNOVANJA PONUDA</w:t>
      </w:r>
      <w:bookmarkEnd w:id="10"/>
    </w:p>
    <w:p w14:paraId="577774D8">
      <w:pPr>
        <w:spacing w:line="276" w:lineRule="auto"/>
        <w:jc w:val="both"/>
        <w:rPr>
          <w:rFonts w:ascii="Arial" w:hAnsi="Arial" w:cs="Arial"/>
          <w:color w:val="000000"/>
          <w:lang w:val="sr-Latn-ME"/>
        </w:rPr>
      </w:pPr>
      <w:r>
        <w:rPr>
          <w:rFonts w:ascii="Arial" w:hAnsi="Arial" w:cs="Arial"/>
          <w:color w:val="000000"/>
          <w:lang w:val="sr-Latn-ME"/>
        </w:rPr>
        <w:t>Naručilac će u postupku javne nabavki izabrati ekonomski najpovoljniju ponudu, primjenom pristupa isplativosti, po osnovu kriterijuma</w:t>
      </w:r>
      <w:r>
        <w:rPr>
          <w:rFonts w:ascii="Arial" w:hAnsi="Arial" w:cs="Arial"/>
          <w:color w:val="000000"/>
          <w:vertAlign w:val="superscript"/>
          <w:lang w:val="sr-Latn-ME"/>
        </w:rPr>
        <w:footnoteReference w:id="6"/>
      </w:r>
      <w:r>
        <w:rPr>
          <w:rFonts w:ascii="Arial" w:hAnsi="Arial" w:cs="Arial"/>
          <w:color w:val="000000"/>
          <w:lang w:val="sr-Latn-ME"/>
        </w:rPr>
        <w:t xml:space="preserve">:  </w:t>
      </w:r>
    </w:p>
    <w:p w14:paraId="1CCA70EA">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odnos cijene i kvaliteta </w:t>
      </w:r>
    </w:p>
    <w:p w14:paraId="1D5A90CF">
      <w:pPr>
        <w:numPr>
          <w:ilvl w:val="0"/>
          <w:numId w:val="7"/>
        </w:numPr>
        <w:spacing w:line="276" w:lineRule="auto"/>
        <w:jc w:val="both"/>
        <w:rPr>
          <w:rFonts w:ascii="Arial" w:hAnsi="Arial" w:cs="Arial"/>
          <w:b/>
          <w:bCs/>
          <w:color w:val="000000"/>
          <w:lang w:val="sr-Latn-ME"/>
        </w:rPr>
      </w:pPr>
      <w:r>
        <w:rPr>
          <w:rFonts w:ascii="Arial" w:hAnsi="Arial" w:cs="Arial"/>
          <w:b/>
          <w:bCs/>
          <w:color w:val="000000"/>
          <w:lang w:val="sr-Latn-ME"/>
        </w:rPr>
        <w:t xml:space="preserve">Ponude po parametru cijena vrednovaće se na sljedeći način: </w:t>
      </w:r>
    </w:p>
    <w:p w14:paraId="367219D6">
      <w:pPr>
        <w:spacing w:line="276" w:lineRule="auto"/>
        <w:jc w:val="both"/>
        <w:rPr>
          <w:rFonts w:hint="default" w:ascii="Arial" w:hAnsi="Arial" w:cs="Arial"/>
          <w:b/>
          <w:bCs/>
          <w:color w:val="000000"/>
          <w:lang w:val="sr-Latn-ME"/>
        </w:rPr>
      </w:pPr>
      <w:r>
        <w:rPr>
          <w:rFonts w:ascii="Arial" w:hAnsi="Arial" w:cs="Arial"/>
          <w:bCs/>
          <w:color w:val="000000"/>
          <w:lang w:val="sr-Latn-ME"/>
        </w:rPr>
        <w:t xml:space="preserve">Maksimalan broj bodova po ovom parametru je </w:t>
      </w:r>
      <w:r>
        <w:rPr>
          <w:rFonts w:hint="default" w:ascii="Arial" w:hAnsi="Arial" w:cs="Arial"/>
          <w:b/>
          <w:bCs/>
          <w:color w:val="000000"/>
          <w:lang w:val="sr-Latn-ME"/>
        </w:rPr>
        <w:t>75</w:t>
      </w:r>
    </w:p>
    <w:p w14:paraId="5255E8E7">
      <w:pPr>
        <w:spacing w:line="276" w:lineRule="auto"/>
        <w:jc w:val="both"/>
        <w:rPr>
          <w:rFonts w:ascii="Arial" w:hAnsi="Arial" w:cs="Arial"/>
          <w:bCs/>
          <w:color w:val="000000"/>
          <w:lang w:val="sr-Latn-ME"/>
        </w:rPr>
      </w:pPr>
      <w:r>
        <w:rPr>
          <w:rFonts w:ascii="Arial" w:hAnsi="Arial" w:cs="Arial"/>
          <w:bCs/>
          <w:color w:val="000000"/>
          <w:lang w:val="sr-Latn-ME"/>
        </w:rPr>
        <w:t>Broj bodova po parametru cijena određuje se po formuli:</w:t>
      </w:r>
    </w:p>
    <w:p w14:paraId="44D4CEAB">
      <w:pPr>
        <w:spacing w:line="276" w:lineRule="auto"/>
        <w:jc w:val="both"/>
        <w:rPr>
          <w:rFonts w:hint="default" w:ascii="Arial" w:hAnsi="Arial" w:cs="Arial"/>
          <w:b/>
          <w:bCs/>
          <w:color w:val="000000"/>
          <w:lang w:val="sr-Latn-ME"/>
        </w:rPr>
      </w:pPr>
      <w:r>
        <w:rPr>
          <w:rFonts w:ascii="Arial" w:hAnsi="Arial" w:cs="Arial"/>
          <w:b/>
          <w:bCs/>
          <w:color w:val="000000"/>
          <w:lang w:val="sr-Latn-ME"/>
        </w:rPr>
        <w:t>C= (C</w:t>
      </w:r>
      <w:r>
        <w:rPr>
          <w:rFonts w:ascii="Arial" w:hAnsi="Arial" w:cs="Arial"/>
          <w:b/>
          <w:bCs/>
          <w:color w:val="000000"/>
          <w:vertAlign w:val="subscript"/>
          <w:lang w:val="sr-Latn-ME"/>
        </w:rPr>
        <w:t>min</w:t>
      </w:r>
      <w:r>
        <w:rPr>
          <w:rFonts w:ascii="Arial" w:hAnsi="Arial" w:cs="Arial"/>
          <w:b/>
          <w:bCs/>
          <w:color w:val="000000"/>
          <w:lang w:val="sr-Latn-ME"/>
        </w:rPr>
        <w:t>/C</w:t>
      </w:r>
      <w:r>
        <w:rPr>
          <w:rFonts w:ascii="Arial" w:hAnsi="Arial" w:cs="Arial"/>
          <w:b/>
          <w:bCs/>
          <w:color w:val="000000"/>
          <w:vertAlign w:val="subscript"/>
          <w:lang w:val="sr-Latn-ME"/>
        </w:rPr>
        <w:t>p</w:t>
      </w:r>
      <w:r>
        <w:rPr>
          <w:rFonts w:ascii="Arial" w:hAnsi="Arial" w:cs="Arial"/>
          <w:b/>
          <w:bCs/>
          <w:color w:val="000000"/>
          <w:lang w:val="sr-Latn-ME"/>
        </w:rPr>
        <w:t>)x</w:t>
      </w:r>
      <w:r>
        <w:rPr>
          <w:rFonts w:hint="default" w:ascii="Arial" w:hAnsi="Arial" w:cs="Arial"/>
          <w:b/>
          <w:bCs/>
          <w:color w:val="000000"/>
          <w:lang w:val="sr-Latn-ME"/>
        </w:rPr>
        <w:t>75</w:t>
      </w:r>
    </w:p>
    <w:p w14:paraId="33094D6A">
      <w:pPr>
        <w:spacing w:line="276" w:lineRule="auto"/>
        <w:jc w:val="both"/>
        <w:rPr>
          <w:rFonts w:ascii="Arial" w:hAnsi="Arial" w:cs="Arial"/>
          <w:bCs/>
          <w:color w:val="000000"/>
          <w:lang w:val="sr-Latn-ME"/>
        </w:rPr>
      </w:pPr>
      <w:r>
        <w:rPr>
          <w:rFonts w:ascii="Arial" w:hAnsi="Arial" w:cs="Arial"/>
          <w:bCs/>
          <w:color w:val="000000"/>
          <w:lang w:val="sr-Latn-ME"/>
        </w:rPr>
        <w:t>đe je:</w:t>
      </w:r>
    </w:p>
    <w:p w14:paraId="06EBA671">
      <w:pPr>
        <w:spacing w:line="276" w:lineRule="auto"/>
        <w:jc w:val="both"/>
        <w:rPr>
          <w:rFonts w:ascii="Arial" w:hAnsi="Arial" w:cs="Arial"/>
          <w:bCs/>
          <w:color w:val="000000"/>
          <w:lang w:val="sr-Latn-ME"/>
        </w:rPr>
      </w:pPr>
      <w:r>
        <w:rPr>
          <w:rFonts w:ascii="Arial" w:hAnsi="Arial" w:cs="Arial"/>
          <w:bCs/>
          <w:color w:val="000000"/>
          <w:lang w:val="sr-Latn-ME"/>
        </w:rPr>
        <w:t>C – broj bodova za ponuđenu cijenu,</w:t>
      </w:r>
    </w:p>
    <w:p w14:paraId="195CE2BE">
      <w:pPr>
        <w:spacing w:line="276" w:lineRule="auto"/>
        <w:jc w:val="both"/>
        <w:rPr>
          <w:rFonts w:ascii="Arial" w:hAnsi="Arial" w:cs="Arial"/>
          <w:bCs/>
          <w:color w:val="000000"/>
          <w:lang w:val="sr-Latn-ME"/>
        </w:rPr>
      </w:pPr>
      <w:r>
        <w:rPr>
          <w:rFonts w:ascii="Arial" w:hAnsi="Arial" w:cs="Arial"/>
          <w:bCs/>
          <w:color w:val="000000"/>
          <w:lang w:val="sr-Latn-ME"/>
        </w:rPr>
        <w:t>C</w:t>
      </w:r>
      <w:r>
        <w:rPr>
          <w:rFonts w:ascii="Arial" w:hAnsi="Arial" w:cs="Arial"/>
          <w:bCs/>
          <w:color w:val="000000"/>
          <w:vertAlign w:val="subscript"/>
          <w:lang w:val="sr-Latn-ME"/>
        </w:rPr>
        <w:t>min</w:t>
      </w:r>
      <w:r>
        <w:rPr>
          <w:rFonts w:ascii="Arial" w:hAnsi="Arial" w:cs="Arial"/>
          <w:bCs/>
          <w:color w:val="000000"/>
          <w:lang w:val="sr-Latn-ME"/>
        </w:rPr>
        <w:t xml:space="preserve"> – najniža ponuđena cijena (bez PDV-a),</w:t>
      </w:r>
    </w:p>
    <w:p w14:paraId="1B735483">
      <w:pPr>
        <w:spacing w:line="276" w:lineRule="auto"/>
        <w:jc w:val="both"/>
        <w:rPr>
          <w:rFonts w:ascii="Arial" w:hAnsi="Arial" w:cs="Arial"/>
          <w:bCs/>
          <w:color w:val="000000"/>
          <w:lang w:val="sr-Latn-ME"/>
        </w:rPr>
      </w:pPr>
      <w:r>
        <w:rPr>
          <w:rFonts w:ascii="Arial" w:hAnsi="Arial" w:cs="Arial"/>
          <w:bCs/>
          <w:color w:val="000000"/>
          <w:lang w:val="sr-Latn-ME"/>
        </w:rPr>
        <w:t>C</w:t>
      </w:r>
      <w:r>
        <w:rPr>
          <w:rFonts w:ascii="Arial" w:hAnsi="Arial" w:cs="Arial"/>
          <w:bCs/>
          <w:color w:val="000000"/>
          <w:vertAlign w:val="subscript"/>
          <w:lang w:val="sr-Latn-ME"/>
        </w:rPr>
        <w:t>p</w:t>
      </w:r>
      <w:r>
        <w:rPr>
          <w:rFonts w:ascii="Arial" w:hAnsi="Arial" w:cs="Arial"/>
          <w:bCs/>
          <w:color w:val="000000"/>
          <w:lang w:val="sr-Latn-ME"/>
        </w:rPr>
        <w:t xml:space="preserve"> –  ponuđena cijena (bez PDV-a),</w:t>
      </w:r>
    </w:p>
    <w:p w14:paraId="43C17430">
      <w:pPr>
        <w:spacing w:line="276" w:lineRule="auto"/>
        <w:jc w:val="both"/>
        <w:rPr>
          <w:rFonts w:ascii="Arial" w:hAnsi="Arial" w:cs="Arial"/>
          <w:bCs/>
          <w:color w:val="000000"/>
          <w:lang w:val="sr-Latn-ME"/>
        </w:rPr>
      </w:pPr>
      <w:r>
        <w:rPr>
          <w:rFonts w:hint="default" w:ascii="Arial" w:hAnsi="Arial" w:cs="Arial"/>
          <w:bCs/>
          <w:color w:val="000000"/>
          <w:lang w:val="sr-Latn-ME"/>
        </w:rPr>
        <w:t>75</w:t>
      </w:r>
      <w:r>
        <w:rPr>
          <w:rFonts w:ascii="Arial" w:hAnsi="Arial" w:cs="Arial"/>
          <w:bCs/>
          <w:color w:val="000000"/>
          <w:lang w:val="sr-Latn-ME"/>
        </w:rPr>
        <w:t xml:space="preserve"> – maksimalni broj bodova po ovom parametru. </w:t>
      </w:r>
    </w:p>
    <w:p w14:paraId="7B7874BF">
      <w:pPr>
        <w:spacing w:line="276" w:lineRule="auto"/>
        <w:jc w:val="both"/>
        <w:rPr>
          <w:rFonts w:ascii="Arial" w:hAnsi="Arial" w:cs="Arial"/>
          <w:bCs/>
          <w:color w:val="000000"/>
          <w:lang w:val="sr-Latn-ME"/>
        </w:rPr>
      </w:pPr>
    </w:p>
    <w:p w14:paraId="1332BCAC">
      <w:pPr>
        <w:spacing w:line="276" w:lineRule="auto"/>
        <w:jc w:val="both"/>
        <w:rPr>
          <w:rFonts w:ascii="Arial" w:hAnsi="Arial" w:cs="Arial"/>
          <w:bCs/>
          <w:color w:val="000000"/>
          <w:lang w:val="sr-Latn-ME"/>
        </w:rPr>
      </w:pPr>
    </w:p>
    <w:p w14:paraId="2552C0EE">
      <w:pPr>
        <w:spacing w:line="276" w:lineRule="auto"/>
        <w:jc w:val="both"/>
        <w:rPr>
          <w:rFonts w:ascii="Arial" w:hAnsi="Arial" w:cs="Arial"/>
          <w:bCs/>
          <w:color w:val="000000"/>
          <w:lang w:val="sr-Latn-ME"/>
        </w:rPr>
      </w:pPr>
      <w:r>
        <w:rPr>
          <w:rFonts w:ascii="Arial" w:hAnsi="Arial" w:cs="Arial"/>
          <w:bCs/>
          <w:color w:val="000000"/>
          <w:lang w:val="sr-Latn-ME"/>
        </w:rPr>
        <w:t xml:space="preserve"> </w:t>
      </w:r>
    </w:p>
    <w:p w14:paraId="72C03204">
      <w:pPr>
        <w:numPr>
          <w:ilvl w:val="0"/>
          <w:numId w:val="7"/>
        </w:numPr>
        <w:spacing w:line="276" w:lineRule="auto"/>
        <w:jc w:val="both"/>
        <w:rPr>
          <w:rFonts w:ascii="Arial" w:hAnsi="Arial" w:cs="Arial"/>
          <w:b/>
          <w:bCs/>
          <w:color w:val="000000"/>
          <w:lang w:val="sr-Latn-ME"/>
        </w:rPr>
      </w:pPr>
      <w:r>
        <w:rPr>
          <w:rFonts w:ascii="Arial" w:hAnsi="Arial" w:cs="Arial"/>
          <w:b/>
          <w:bCs/>
          <w:color w:val="000000"/>
          <w:lang w:val="sr-Latn-ME"/>
        </w:rPr>
        <w:t xml:space="preserve">Ponude po parametru kvalitet vrednovaće se na sljedeći način: </w:t>
      </w:r>
    </w:p>
    <w:p w14:paraId="19F11EA3">
      <w:pPr>
        <w:spacing w:line="276" w:lineRule="auto"/>
        <w:jc w:val="both"/>
        <w:rPr>
          <w:rFonts w:ascii="Arial" w:hAnsi="Arial" w:cs="Arial"/>
          <w:b/>
          <w:color w:val="000000"/>
          <w:lang w:val="sr-Latn-ME"/>
        </w:rPr>
      </w:pPr>
      <w:r>
        <w:rPr>
          <w:rFonts w:ascii="Arial" w:hAnsi="Arial" w:cs="Arial"/>
          <w:b/>
          <w:color w:val="000000"/>
          <w:lang w:val="sr-Latn-ME"/>
        </w:rPr>
        <w:t>Parametar kvalitet (K1) vrednovaće se na sljedeći način:</w:t>
      </w:r>
    </w:p>
    <w:p w14:paraId="479823E9">
      <w:pPr>
        <w:spacing w:line="276" w:lineRule="auto"/>
        <w:jc w:val="both"/>
        <w:rPr>
          <w:rFonts w:ascii="Arial" w:hAnsi="Arial" w:cs="Arial"/>
          <w:bCs/>
          <w:color w:val="000000"/>
          <w:lang w:val="sr-Latn-ME"/>
        </w:rPr>
      </w:pPr>
      <w:r>
        <w:rPr>
          <w:rFonts w:ascii="Arial" w:hAnsi="Arial" w:cs="Arial"/>
          <w:bCs/>
          <w:color w:val="000000"/>
          <w:lang w:val="sr-Latn-ME"/>
        </w:rPr>
        <w:t>Najkraći ponuđeni rok isporuke dobija maksimalni broj bodova 1</w:t>
      </w:r>
      <w:r>
        <w:rPr>
          <w:rFonts w:hint="default" w:ascii="Arial" w:hAnsi="Arial" w:cs="Arial"/>
          <w:bCs/>
          <w:color w:val="000000"/>
          <w:lang w:val="sr-Latn-ME"/>
        </w:rPr>
        <w:t>5</w:t>
      </w:r>
      <w:r>
        <w:rPr>
          <w:rFonts w:ascii="Arial" w:hAnsi="Arial" w:cs="Arial"/>
          <w:bCs/>
          <w:color w:val="000000"/>
          <w:lang w:val="sr-Latn-ME"/>
        </w:rPr>
        <w:t>. Bodovi za ostale ponude se obračunavaju proporcijalno u odnosu na najkraći ponuđeni rok isporuke po formuli: Broj bodova (K1) = Najkraći ponuđeni rok isporuke / ponuđeni rok isporuke x 1</w:t>
      </w:r>
      <w:r>
        <w:rPr>
          <w:rFonts w:hint="default" w:ascii="Arial" w:hAnsi="Arial" w:cs="Arial"/>
          <w:bCs/>
          <w:color w:val="000000"/>
          <w:lang w:val="sr-Latn-ME"/>
        </w:rPr>
        <w:t>5</w:t>
      </w:r>
      <w:r>
        <w:rPr>
          <w:rFonts w:ascii="Arial" w:hAnsi="Arial" w:cs="Arial"/>
          <w:bCs/>
          <w:color w:val="000000"/>
          <w:lang w:val="sr-Latn-ME"/>
        </w:rPr>
        <w:t xml:space="preserve">. Ponuđač je dužan da u ponudi navede rok isporuke iskazan u danima. Rok isporuke je </w:t>
      </w:r>
      <w:r>
        <w:rPr>
          <w:rFonts w:ascii="Arial" w:hAnsi="Arial" w:cs="Arial"/>
          <w:bCs/>
          <w:color w:val="000000"/>
        </w:rPr>
        <w:t>maksimalno 180 dana od dana potpisivanja ugovora.</w:t>
      </w:r>
    </w:p>
    <w:p w14:paraId="28647EB7">
      <w:pPr>
        <w:spacing w:line="276" w:lineRule="auto"/>
        <w:jc w:val="both"/>
        <w:rPr>
          <w:rFonts w:ascii="Arial" w:hAnsi="Arial" w:cs="Arial"/>
          <w:bCs/>
          <w:color w:val="000000"/>
        </w:rPr>
      </w:pPr>
    </w:p>
    <w:p w14:paraId="14F3C006">
      <w:pPr>
        <w:spacing w:line="276" w:lineRule="auto"/>
        <w:jc w:val="both"/>
        <w:rPr>
          <w:rFonts w:ascii="Arial" w:hAnsi="Arial" w:cs="Arial"/>
          <w:b/>
          <w:color w:val="000000"/>
        </w:rPr>
      </w:pPr>
      <w:bookmarkStart w:id="11" w:name="_Hlk215010709"/>
      <w:r>
        <w:rPr>
          <w:rFonts w:ascii="Arial" w:hAnsi="Arial" w:cs="Arial"/>
          <w:b/>
          <w:color w:val="000000"/>
        </w:rPr>
        <w:t>Parametar kvalitet (K2) vrednovaće se na sljedeći način:</w:t>
      </w:r>
      <w:bookmarkEnd w:id="11"/>
    </w:p>
    <w:p w14:paraId="0302F15D">
      <w:pPr>
        <w:spacing w:line="276" w:lineRule="auto"/>
        <w:jc w:val="both"/>
        <w:rPr>
          <w:rFonts w:ascii="Arial" w:hAnsi="Arial" w:cs="Arial"/>
          <w:bCs/>
          <w:color w:val="000000"/>
        </w:rPr>
      </w:pPr>
      <w:r>
        <w:rPr>
          <w:rFonts w:ascii="Arial" w:hAnsi="Arial" w:cs="Arial"/>
          <w:bCs/>
          <w:color w:val="000000"/>
        </w:rPr>
        <w:t xml:space="preserve">Najduži ponuđeni garantni rok dobija maksimalni broj bodova 10. Bodovi za ostale ponude se obračunavaju proporcijalno u odnosu na najduži ponuđeni garantni rok po formuli: Broj bodova (K2) = Ponuđeni garantni rok /najduži ponuđeni garantni rok x 10. Ponuđač je dužan da u ponudi navede garantni rok, iskazan u mjesecima. Minimalni garantni rok je </w:t>
      </w:r>
      <w:r>
        <w:rPr>
          <w:rFonts w:hint="default" w:ascii="Arial" w:hAnsi="Arial" w:cs="Arial"/>
          <w:bCs/>
          <w:color w:val="000000"/>
          <w:lang w:val="sr-Latn-ME"/>
        </w:rPr>
        <w:t xml:space="preserve">12 </w:t>
      </w:r>
      <w:r>
        <w:rPr>
          <w:rFonts w:ascii="Arial" w:hAnsi="Arial" w:cs="Arial"/>
          <w:bCs/>
          <w:color w:val="000000"/>
        </w:rPr>
        <w:t>mjesec</w:t>
      </w:r>
      <w:r>
        <w:rPr>
          <w:rFonts w:hint="default" w:ascii="Arial" w:hAnsi="Arial" w:cs="Arial"/>
          <w:bCs/>
          <w:color w:val="000000"/>
          <w:lang w:val="sr-Latn-ME"/>
        </w:rPr>
        <w:t>i</w:t>
      </w:r>
      <w:r>
        <w:rPr>
          <w:rFonts w:ascii="Arial" w:hAnsi="Arial" w:cs="Arial"/>
          <w:bCs/>
          <w:color w:val="000000"/>
        </w:rPr>
        <w:t xml:space="preserve"> od dana potpisivanja zapisnika zapisnika o tehničkom prijemu drobiličnog postrojenja sa pratećom opremom.</w:t>
      </w:r>
    </w:p>
    <w:p w14:paraId="6A3BD991">
      <w:pPr>
        <w:spacing w:line="276" w:lineRule="auto"/>
        <w:jc w:val="both"/>
        <w:rPr>
          <w:rFonts w:ascii="Arial" w:hAnsi="Arial" w:cs="Arial"/>
          <w:bCs/>
          <w:color w:val="000000"/>
        </w:rPr>
      </w:pPr>
    </w:p>
    <w:p w14:paraId="0C0B076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szCs w:val="32"/>
          <w:lang w:val="sr-Latn-ME"/>
        </w:rPr>
      </w:pPr>
      <w:bookmarkStart w:id="12" w:name="_Toc62730560"/>
      <w:r>
        <w:rPr>
          <w:rFonts w:ascii="Arial" w:hAnsi="Arial"/>
          <w:b/>
          <w:szCs w:val="32"/>
          <w:lang w:val="sr-Latn-ME"/>
        </w:rPr>
        <w:t>JEZIK PONUDE</w:t>
      </w:r>
      <w:bookmarkEnd w:id="12"/>
    </w:p>
    <w:p w14:paraId="1E269A4F">
      <w:pPr>
        <w:spacing w:line="276" w:lineRule="auto"/>
        <w:jc w:val="both"/>
        <w:rPr>
          <w:rFonts w:ascii="Arial" w:hAnsi="Arial" w:cs="Arial"/>
          <w:b/>
          <w:bCs/>
          <w:color w:val="000000"/>
          <w:sz w:val="16"/>
          <w:szCs w:val="16"/>
          <w:lang w:val="sr-Latn-ME"/>
        </w:rPr>
      </w:pPr>
    </w:p>
    <w:p w14:paraId="2D93CCD1">
      <w:pPr>
        <w:spacing w:line="276" w:lineRule="auto"/>
        <w:jc w:val="both"/>
        <w:rPr>
          <w:rFonts w:ascii="Arial" w:hAnsi="Arial" w:cs="Arial"/>
          <w:color w:val="000000"/>
          <w:lang w:val="sr-Latn-ME"/>
        </w:rPr>
      </w:pPr>
      <w:r>
        <w:rPr>
          <w:rFonts w:ascii="Arial" w:hAnsi="Arial" w:cs="Arial"/>
          <w:color w:val="000000"/>
          <w:lang w:val="sr-Latn-ME"/>
        </w:rPr>
        <w:t>Ponuda se sačinjava na:</w:t>
      </w:r>
    </w:p>
    <w:p w14:paraId="7B9F7F42">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crnogorski jezik i drugi jezik koji je u službenoj upotrebi u Crnoj Gori, u skladu sa Ustavom i zakonom.</w:t>
      </w:r>
    </w:p>
    <w:p w14:paraId="5AD55B8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76" w:lineRule="auto"/>
        <w:ind w:left="1080" w:leftChars="0" w:firstLineChars="0"/>
        <w:jc w:val="both"/>
        <w:outlineLvl w:val="0"/>
        <w:rPr>
          <w:rFonts w:ascii="Arial" w:hAnsi="Arial" w:cs="Arial"/>
          <w:b/>
          <w:bCs/>
          <w:color w:val="000000"/>
          <w:lang w:val="sr-Latn-ME"/>
        </w:rPr>
      </w:pPr>
      <w:bookmarkStart w:id="13" w:name="_Toc62730561"/>
      <w:r>
        <w:rPr>
          <w:rFonts w:ascii="Arial" w:hAnsi="Arial"/>
          <w:b/>
          <w:szCs w:val="32"/>
          <w:lang w:val="sr-Latn-ME"/>
        </w:rPr>
        <w:t xml:space="preserve">NAČIN, MJESTO I VRIJEME PODNOŠENJA PONUDA I OTVARANJA </w:t>
      </w:r>
      <w:bookmarkEnd w:id="13"/>
    </w:p>
    <w:p w14:paraId="54B9449B">
      <w:pPr>
        <w:jc w:val="both"/>
        <w:rPr>
          <w:rFonts w:ascii="Arial" w:hAnsi="Arial" w:cs="Arial"/>
          <w:color w:val="000000"/>
          <w:lang w:val="sr-Latn-ME"/>
        </w:rPr>
      </w:pPr>
      <w:r>
        <w:rPr>
          <w:rFonts w:ascii="Arial" w:hAnsi="Arial" w:cs="Arial"/>
          <w:color w:val="000000"/>
          <w:lang w:val="sr-Latn-ME"/>
        </w:rPr>
        <w:t>Ponude se podnose preko ESJN-a  zaključno sa danom 1</w:t>
      </w:r>
      <w:r>
        <w:rPr>
          <w:rFonts w:hint="default" w:ascii="Arial" w:hAnsi="Arial" w:cs="Arial"/>
          <w:color w:val="000000"/>
          <w:lang w:val="sr-Latn-ME"/>
        </w:rPr>
        <w:t>5</w:t>
      </w:r>
      <w:r>
        <w:rPr>
          <w:rFonts w:ascii="Arial" w:hAnsi="Arial" w:cs="Arial"/>
          <w:color w:val="000000"/>
          <w:lang w:val="sr-Latn-ME"/>
        </w:rPr>
        <w:t xml:space="preserve">.12.2025. godine do 11:00 časova. </w:t>
      </w:r>
    </w:p>
    <w:p w14:paraId="6289C992">
      <w:pPr>
        <w:jc w:val="both"/>
        <w:rPr>
          <w:rFonts w:ascii="Arial" w:hAnsi="Arial" w:cs="Arial"/>
          <w:color w:val="000000"/>
          <w:lang w:val="sr-Latn-ME"/>
        </w:rPr>
      </w:pPr>
      <w:r>
        <w:rPr>
          <w:rFonts w:ascii="Arial" w:hAnsi="Arial" w:cs="Arial"/>
          <w:color w:val="000000"/>
          <w:lang w:val="sr-Latn-ME"/>
        </w:rPr>
        <w:t>Otvaranje ponuda održaće se dana 1</w:t>
      </w:r>
      <w:r>
        <w:rPr>
          <w:rFonts w:hint="default" w:ascii="Arial" w:hAnsi="Arial" w:cs="Arial"/>
          <w:color w:val="000000"/>
          <w:lang w:val="sr-Latn-ME"/>
        </w:rPr>
        <w:t>5</w:t>
      </w:r>
      <w:r>
        <w:rPr>
          <w:rFonts w:ascii="Arial" w:hAnsi="Arial" w:cs="Arial"/>
          <w:color w:val="000000"/>
          <w:lang w:val="sr-Latn-ME"/>
        </w:rPr>
        <w:t>.12.2025. godine u 11:30 časova.</w:t>
      </w:r>
    </w:p>
    <w:p w14:paraId="5B06D47B">
      <w:pPr>
        <w:jc w:val="both"/>
        <w:rPr>
          <w:rFonts w:ascii="Arial" w:hAnsi="Arial" w:cs="Arial"/>
          <w:color w:val="000000"/>
          <w:lang w:val="sr-Latn-ME"/>
        </w:rPr>
      </w:pPr>
      <w:r>
        <w:rPr>
          <w:rFonts w:ascii="Arial" w:hAnsi="Arial" w:cs="Arial"/>
          <w:color w:val="000000"/>
          <w:lang w:val="sr-Latn-ME"/>
        </w:rPr>
        <w:t>Napomena: U skladu sa Zakonom o javnim nabavkama Izjava privrednog subjekta i garancija ponude podnose se u elektronskom obliku putem ESJN.</w:t>
      </w:r>
    </w:p>
    <w:p w14:paraId="301268D9">
      <w:pPr>
        <w:jc w:val="both"/>
        <w:rPr>
          <w:rFonts w:ascii="Arial" w:hAnsi="Arial" w:cs="Arial"/>
          <w:color w:val="000000"/>
          <w:lang w:val="sr-Latn-ME"/>
        </w:rPr>
      </w:pPr>
      <w:r>
        <w:rPr>
          <w:rFonts w:ascii="Arial" w:hAnsi="Arial" w:cs="Arial"/>
          <w:color w:val="000000"/>
          <w:lang w:val="sr-Latn-ME"/>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4D4D1177">
      <w:pPr>
        <w:jc w:val="both"/>
        <w:rPr>
          <w:rFonts w:ascii="Arial" w:hAnsi="Arial" w:cs="Arial"/>
          <w:color w:val="000000"/>
          <w:lang w:val="sr-Latn-ME"/>
        </w:rPr>
      </w:pPr>
    </w:p>
    <w:p w14:paraId="20A3EAC2">
      <w:pPr>
        <w:jc w:val="both"/>
        <w:rPr>
          <w:rFonts w:ascii="Arial" w:hAnsi="Arial" w:cs="Arial"/>
          <w:color w:val="000000"/>
          <w:lang w:val="sr-Latn-ME"/>
        </w:rPr>
      </w:pPr>
      <w:r>
        <w:rPr>
          <w:rFonts w:ascii="Arial" w:hAnsi="Arial" w:cs="Arial"/>
          <w:color w:val="000000"/>
          <w:lang w:val="sr-Latn-ME"/>
        </w:rPr>
        <w:t xml:space="preserve"> Dio ponude koje se ne dostavlja preko ESJN-a, a odnosi se na Garanciju ponude dostavlja se: </w:t>
      </w:r>
    </w:p>
    <w:p w14:paraId="4B71D6DD">
      <w:pPr>
        <w:jc w:val="both"/>
        <w:rPr>
          <w:rFonts w:ascii="Arial" w:hAnsi="Arial" w:cs="Arial"/>
          <w:color w:val="000000"/>
          <w:lang w:val="sr-Latn-ME"/>
        </w:rPr>
      </w:pPr>
    </w:p>
    <w:p w14:paraId="694CB393">
      <w:pPr>
        <w:jc w:val="both"/>
        <w:rPr>
          <w:rFonts w:ascii="Arial" w:hAnsi="Arial" w:cs="Arial"/>
          <w:color w:val="000000"/>
          <w:lang w:val="sr-Latn-ME"/>
        </w:rPr>
      </w:pPr>
      <w:r>
        <w:rPr>
          <w:rFonts w:ascii="Arial" w:hAnsi="Arial" w:cs="Arial"/>
          <w:color w:val="000000"/>
          <w:lang w:val="sr-Latn-ME"/>
        </w:rPr>
        <w:t xml:space="preserve">neposrednim podnošenjem na arhivi naručioca na adresi Zabjelo, Bulevar Zetskih Vladara 1/15, </w:t>
      </w:r>
    </w:p>
    <w:p w14:paraId="3E91FFB2">
      <w:pPr>
        <w:jc w:val="both"/>
        <w:rPr>
          <w:rFonts w:ascii="Arial" w:hAnsi="Arial" w:cs="Arial"/>
          <w:color w:val="000000"/>
          <w:lang w:val="sr-Latn-ME"/>
        </w:rPr>
      </w:pPr>
      <w:r>
        <w:rPr>
          <w:rFonts w:ascii="Arial" w:hAnsi="Arial" w:cs="Arial"/>
          <w:color w:val="000000"/>
          <w:lang w:val="sr-Latn-ME"/>
        </w:rPr>
        <w:t>preporučenom pošiljkom sa povratnicom na adresi Zabjelo, Bulevar Zetskih Vladara 1/15;</w:t>
      </w:r>
    </w:p>
    <w:p w14:paraId="020B1BB8">
      <w:pPr>
        <w:jc w:val="both"/>
        <w:rPr>
          <w:rFonts w:ascii="Arial" w:hAnsi="Arial" w:cs="Arial"/>
          <w:color w:val="000000"/>
          <w:lang w:val="sr-Latn-ME"/>
        </w:rPr>
      </w:pPr>
    </w:p>
    <w:p w14:paraId="7F332354">
      <w:pPr>
        <w:jc w:val="both"/>
        <w:rPr>
          <w:rFonts w:ascii="Arial" w:hAnsi="Arial" w:cs="Arial"/>
          <w:color w:val="000000"/>
          <w:lang w:val="sr-Latn-ME"/>
        </w:rPr>
      </w:pPr>
      <w:r>
        <w:rPr>
          <w:rFonts w:ascii="Arial" w:hAnsi="Arial" w:cs="Arial"/>
          <w:color w:val="000000"/>
          <w:lang w:val="sr-Latn-ME"/>
        </w:rPr>
        <w:t>radnim danima od 7:00 do 15:00 časova, zaključno sa danom 1</w:t>
      </w:r>
      <w:r>
        <w:rPr>
          <w:rFonts w:hint="default" w:ascii="Arial" w:hAnsi="Arial" w:cs="Arial"/>
          <w:color w:val="000000"/>
          <w:lang w:val="sr-Latn-ME"/>
        </w:rPr>
        <w:t>5</w:t>
      </w:r>
      <w:r>
        <w:rPr>
          <w:rFonts w:ascii="Arial" w:hAnsi="Arial" w:cs="Arial"/>
          <w:color w:val="000000"/>
          <w:lang w:val="sr-Latn-ME"/>
        </w:rPr>
        <w:t>.12.2025. godine do 11:00 časova.</w:t>
      </w:r>
    </w:p>
    <w:p w14:paraId="67DF4447">
      <w:pPr>
        <w:jc w:val="both"/>
        <w:rPr>
          <w:rFonts w:ascii="Arial" w:hAnsi="Arial" w:cs="Arial"/>
          <w:color w:val="000000"/>
          <w:lang w:val="sr-Latn-ME"/>
        </w:rPr>
      </w:pPr>
    </w:p>
    <w:p w14:paraId="7B4B44CF">
      <w:pPr>
        <w:jc w:val="both"/>
        <w:rPr>
          <w:rFonts w:ascii="Arial" w:hAnsi="Arial" w:cs="Arial"/>
          <w:color w:val="000000"/>
          <w:lang w:val="sr-Latn-ME"/>
        </w:rPr>
      </w:pPr>
      <w:r>
        <w:rPr>
          <w:rFonts w:ascii="Arial" w:hAnsi="Arial" w:cs="Arial"/>
          <w:color w:val="000000"/>
          <w:lang w:val="sr-Latn-ME"/>
        </w:rPr>
        <w:t>• Razlozi hitnosti za skraćenje roka za podnošenje ponuda:</w:t>
      </w:r>
    </w:p>
    <w:p w14:paraId="119BC46B">
      <w:pPr>
        <w:jc w:val="both"/>
        <w:rPr>
          <w:rFonts w:ascii="Arial" w:hAnsi="Arial" w:cs="Arial"/>
          <w:color w:val="000000"/>
          <w:lang w:val="sr-Latn-ME"/>
        </w:rPr>
      </w:pPr>
    </w:p>
    <w:p w14:paraId="1FCB033B">
      <w:pPr>
        <w:jc w:val="both"/>
        <w:rPr>
          <w:rFonts w:ascii="Arial" w:hAnsi="Arial" w:cs="Arial"/>
          <w:color w:val="000000"/>
          <w:lang w:val="sr-Latn-ME"/>
        </w:rPr>
      </w:pPr>
      <w:r>
        <w:rPr>
          <w:rFonts w:ascii="Arial" w:hAnsi="Arial" w:cs="Arial"/>
          <w:color w:val="000000"/>
          <w:lang w:val="sr-Latn-ME"/>
        </w:rPr>
        <w:t>Naručilac se opredijelio za skraćeni rok za dostavljanje ponuda iz sledećeg razloga:</w:t>
      </w:r>
    </w:p>
    <w:p w14:paraId="10F848B5">
      <w:pPr>
        <w:jc w:val="both"/>
        <w:rPr>
          <w:rFonts w:ascii="Arial" w:hAnsi="Arial" w:cs="Arial"/>
          <w:color w:val="000000"/>
          <w:lang w:val="sr-Latn-ME"/>
        </w:rPr>
      </w:pPr>
      <w:r>
        <w:rPr>
          <w:rFonts w:ascii="Arial" w:hAnsi="Arial" w:cs="Arial"/>
          <w:color w:val="000000"/>
          <w:lang w:val="sr-Latn-ME"/>
        </w:rPr>
        <w:t>Imajući u vidu da su sredstva predviđena za predmetnu nabavku, shodno Planu javnih nabavki, obezbijeđena iz Budžeta glavnog grada Podgorica, a budući da se ista moraju iskoristiti do kraja kalendarske godine, Društvo smatra da postoji opravdanost skraćenja roka za podnošenje ponuda, imajući u vidu da u prethodnom periodu nijesu bili obezbijeđeni osnovni preduslovi za objavljivanje predmetnog postupka i realizaciju predmetne nabavke (Tehnički elaborati, UT uslovi i slično).</w:t>
      </w:r>
    </w:p>
    <w:p w14:paraId="364CA7A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szCs w:val="32"/>
          <w:lang w:val="sr-Latn-ME"/>
        </w:rPr>
      </w:pPr>
      <w:bookmarkStart w:id="14" w:name="_Toc62730562"/>
      <w:r>
        <w:rPr>
          <w:rFonts w:ascii="Arial" w:hAnsi="Arial"/>
          <w:b/>
          <w:szCs w:val="32"/>
          <w:lang w:val="sr-Latn-ME"/>
        </w:rPr>
        <w:t>USLOVI ZA AKTIVIRANJE GARANCIJE PONUDE</w:t>
      </w:r>
      <w:r>
        <w:rPr>
          <w:rFonts w:ascii="Arial" w:hAnsi="Arial"/>
          <w:b/>
          <w:szCs w:val="32"/>
          <w:vertAlign w:val="superscript"/>
          <w:lang w:val="sr-Latn-ME"/>
        </w:rPr>
        <w:footnoteReference w:id="7"/>
      </w:r>
      <w:bookmarkEnd w:id="14"/>
    </w:p>
    <w:p w14:paraId="35C8EBF1">
      <w:pPr>
        <w:spacing w:line="276" w:lineRule="auto"/>
        <w:jc w:val="both"/>
        <w:rPr>
          <w:rFonts w:ascii="Arial" w:hAnsi="Arial" w:cs="Arial"/>
          <w:b/>
          <w:bCs/>
          <w:color w:val="000000"/>
          <w:sz w:val="16"/>
          <w:szCs w:val="16"/>
          <w:lang w:val="sr-Latn-ME"/>
        </w:rPr>
      </w:pPr>
    </w:p>
    <w:p w14:paraId="78104574">
      <w:pPr>
        <w:spacing w:line="276" w:lineRule="auto"/>
        <w:jc w:val="both"/>
        <w:rPr>
          <w:rFonts w:ascii="Arial" w:hAnsi="Arial" w:cs="Arial"/>
          <w:lang w:val="sr-Latn-ME"/>
        </w:rPr>
      </w:pPr>
      <w:r>
        <w:rPr>
          <w:rFonts w:ascii="Arial" w:hAnsi="Arial" w:cs="Arial"/>
          <w:lang w:val="sr-Latn-ME"/>
        </w:rPr>
        <w:t xml:space="preserve">Garancija ponude će se aktivirati ako ponuđač: </w:t>
      </w:r>
    </w:p>
    <w:p w14:paraId="2345693B">
      <w:pPr>
        <w:pStyle w:val="11"/>
        <w:spacing w:line="276" w:lineRule="auto"/>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3BCB11A3">
      <w:pPr>
        <w:pStyle w:val="11"/>
        <w:spacing w:line="276" w:lineRule="auto"/>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6D0A3DB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szCs w:val="32"/>
          <w:lang w:val="sr-Latn-ME"/>
        </w:rPr>
      </w:pPr>
      <w:bookmarkStart w:id="15" w:name="_Toc62730563"/>
      <w:r>
        <w:rPr>
          <w:rFonts w:ascii="Arial" w:hAnsi="Arial"/>
          <w:b/>
          <w:szCs w:val="32"/>
          <w:lang w:val="sr-Latn-ME"/>
        </w:rPr>
        <w:t>TAJNOST PODATAKA</w:t>
      </w:r>
      <w:bookmarkEnd w:id="15"/>
    </w:p>
    <w:p w14:paraId="3CEEF0F2">
      <w:pPr>
        <w:spacing w:line="276" w:lineRule="auto"/>
        <w:jc w:val="both"/>
        <w:rPr>
          <w:rFonts w:ascii="Arial" w:hAnsi="Arial" w:cs="Arial"/>
          <w:color w:val="000000"/>
          <w:sz w:val="16"/>
          <w:szCs w:val="16"/>
          <w:lang w:val="sr-Latn-ME"/>
        </w:rPr>
      </w:pPr>
    </w:p>
    <w:p w14:paraId="359E4ECE">
      <w:pPr>
        <w:spacing w:line="276" w:lineRule="auto"/>
        <w:jc w:val="both"/>
        <w:rPr>
          <w:rFonts w:ascii="Arial" w:hAnsi="Arial" w:cs="Arial"/>
          <w:color w:val="000000"/>
          <w:lang w:val="sr-Latn-ME"/>
        </w:rPr>
      </w:pPr>
      <w:r>
        <w:rPr>
          <w:rFonts w:ascii="Arial" w:hAnsi="Arial" w:cs="Arial"/>
          <w:color w:val="000000"/>
          <w:lang w:val="sr-Latn-ME"/>
        </w:rPr>
        <w:t>Tenderska dokumentacija sadrži tajne podatke</w:t>
      </w:r>
    </w:p>
    <w:p w14:paraId="67F56B0C">
      <w:pPr>
        <w:spacing w:line="276" w:lineRule="auto"/>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14:paraId="11C9556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szCs w:val="32"/>
          <w:lang w:val="sr-Latn-ME"/>
        </w:rPr>
      </w:pPr>
      <w:bookmarkStart w:id="16" w:name="_Toc62730564"/>
      <w:r>
        <w:rPr>
          <w:rFonts w:ascii="Arial" w:hAnsi="Arial"/>
          <w:b/>
          <w:szCs w:val="32"/>
          <w:lang w:val="sr-Latn-ME"/>
        </w:rPr>
        <w:t>UPUTSTVO ZA SAČINJAVANJE PONUDE</w:t>
      </w:r>
      <w:bookmarkEnd w:id="16"/>
    </w:p>
    <w:p w14:paraId="7AB7E436">
      <w:pPr>
        <w:spacing w:line="276" w:lineRule="auto"/>
        <w:jc w:val="both"/>
        <w:rPr>
          <w:rFonts w:ascii="Arial" w:hAnsi="Arial" w:cs="Arial"/>
          <w:sz w:val="16"/>
          <w:szCs w:val="16"/>
          <w:lang w:val="sr-Latn-ME"/>
        </w:rPr>
      </w:pPr>
    </w:p>
    <w:p w14:paraId="73DCF241">
      <w:pPr>
        <w:spacing w:line="276" w:lineRule="auto"/>
        <w:jc w:val="both"/>
        <w:rPr>
          <w:rFonts w:ascii="Arial" w:hAnsi="Arial" w:cs="Arial"/>
          <w:lang w:val="sr-Latn-ME"/>
        </w:rPr>
      </w:pPr>
      <w:r>
        <w:rPr>
          <w:rFonts w:ascii="Arial" w:hAnsi="Arial" w:cs="Arial"/>
          <w:lang w:val="sr-Latn-ME"/>
        </w:rPr>
        <w:t xml:space="preserve">Ponude se sačinjava u ESJN u skladu sa tenderskom dokumentacijom i važećim Pravilnikom o sadržaju ponude i uputstvu za sačinjavanje i podnošenje ponude. </w:t>
      </w:r>
    </w:p>
    <w:p w14:paraId="7E469228">
      <w:pPr>
        <w:spacing w:line="276" w:lineRule="auto"/>
        <w:jc w:val="both"/>
        <w:rPr>
          <w:rFonts w:ascii="Arial" w:hAnsi="Arial" w:cs="Arial"/>
          <w:lang w:val="sr-Latn-ME"/>
        </w:rPr>
      </w:pPr>
      <w:r>
        <w:rPr>
          <w:rFonts w:ascii="Arial" w:hAnsi="Arial" w:cs="Arial"/>
          <w:lang w:val="sr-Latn-ME"/>
        </w:rPr>
        <w:t>Ispunjenost uslova za učešće u postupku javne nabavke dokazuje se izjavom privrednog subjekta, koja se sačinjava na obrascu datom u Pravilniku o obrascu izjave privrednog subjekta.</w:t>
      </w:r>
    </w:p>
    <w:p w14:paraId="71AAD262">
      <w:pPr>
        <w:spacing w:line="276" w:lineRule="auto"/>
        <w:jc w:val="both"/>
        <w:rPr>
          <w:rFonts w:ascii="Arial" w:hAnsi="Arial" w:cs="Arial"/>
          <w:i/>
          <w:iCs/>
          <w:color w:val="000000"/>
          <w:lang w:val="sr-Latn-ME"/>
        </w:rPr>
      </w:pPr>
      <w:r>
        <w:rPr>
          <w:rFonts w:ascii="Arial" w:hAnsi="Arial" w:cs="Arial"/>
          <w:lang w:val="sr-Latn-ME"/>
        </w:rPr>
        <w:t xml:space="preserve">Ponuđač je dužan da tačno, potpuno, pravilno i nedvosmisleno popuni </w:t>
      </w:r>
      <w:r>
        <w:rPr>
          <w:rFonts w:ascii="Arial" w:hAnsi="Arial" w:eastAsia="Calibri" w:cs="Arial"/>
          <w:lang w:val="sr-Latn-ME"/>
        </w:rPr>
        <w:t>Izjavu privrednog subjekta u skladu sa zahtjevima iz tenderske dokumentacije.</w:t>
      </w:r>
    </w:p>
    <w:p w14:paraId="4C3231D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76" w:lineRule="auto"/>
        <w:ind w:left="1080" w:leftChars="0" w:firstLineChars="0"/>
        <w:jc w:val="both"/>
        <w:outlineLvl w:val="0"/>
        <w:rPr>
          <w:rFonts w:ascii="Arial" w:hAnsi="Arial"/>
          <w:b/>
          <w:szCs w:val="32"/>
          <w:lang w:val="sr-Latn-ME"/>
        </w:rPr>
      </w:pPr>
      <w:bookmarkStart w:id="17" w:name="_Toc62730565"/>
      <w:r>
        <w:rPr>
          <w:rFonts w:ascii="Arial" w:hAnsi="Arial"/>
          <w:b/>
          <w:szCs w:val="32"/>
          <w:lang w:val="sr-Latn-ME"/>
        </w:rPr>
        <w:t>NAČIN ZAKLJUČIVANJA I IZMJENE UGOVORA O JAVNOJ NABAVCI</w:t>
      </w:r>
      <w:bookmarkEnd w:id="17"/>
    </w:p>
    <w:p w14:paraId="3B3B664B">
      <w:pPr>
        <w:spacing w:line="276" w:lineRule="auto"/>
        <w:jc w:val="both"/>
        <w:rPr>
          <w:rFonts w:ascii="Arial" w:hAnsi="Arial" w:cs="Arial"/>
          <w:lang w:val="sr-Latn-ME"/>
        </w:rPr>
      </w:pPr>
      <w:r>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7C176F91">
      <w:pPr>
        <w:spacing w:line="276" w:lineRule="auto"/>
        <w:jc w:val="both"/>
        <w:rPr>
          <w:rFonts w:ascii="Arial" w:hAnsi="Arial" w:cs="Arial"/>
          <w:lang w:val="sr-Latn-ME"/>
        </w:rPr>
      </w:pPr>
      <w:r>
        <w:rPr>
          <w:rFonts w:ascii="Arial" w:hAnsi="Arial" w:cs="Arial"/>
          <w:lang w:val="sr-Latn-ME"/>
        </w:rPr>
        <w:t>Ugovor o javnoj nabavci mora da bude u skladu sa uslovima utvrđenim tenderskom dokumentacijom, izabranom ponudom i odlukom o izboru najpovoljnije ponude, osim u pogledu iskazivanja PDV-a.</w:t>
      </w:r>
    </w:p>
    <w:p w14:paraId="2A2003FD">
      <w:pPr>
        <w:spacing w:line="276" w:lineRule="auto"/>
        <w:jc w:val="both"/>
        <w:rPr>
          <w:rFonts w:ascii="Arial" w:hAnsi="Arial" w:cs="Arial"/>
          <w:color w:val="auto"/>
          <w:highlight w:val="none"/>
          <w:shd w:val="clear" w:color="auto" w:fill="auto"/>
          <w:lang w:val="sr-Latn-ME"/>
        </w:rPr>
      </w:pPr>
      <w:r>
        <w:rPr>
          <w:rFonts w:ascii="Arial" w:hAnsi="Arial" w:cs="Arial"/>
          <w:color w:val="auto"/>
          <w:highlight w:val="none"/>
          <w:shd w:val="clear" w:color="auto" w:fill="auto"/>
          <w:lang w:val="sr-Latn-ME"/>
        </w:rPr>
        <w:t>Ugovor između naručioca i ponuđača čija je ponuda izabrana kao najpovoljnija, pored uslova koji su propisani ovom tenderskom dokumentacijom, će sadržati i sljedeće:</w:t>
      </w:r>
      <w:r>
        <w:rPr>
          <w:rFonts w:ascii="Arial" w:hAnsi="Arial" w:cs="Arial"/>
          <w:color w:val="auto"/>
          <w:highlight w:val="none"/>
          <w:shd w:val="clear" w:color="auto" w:fill="auto"/>
          <w:vertAlign w:val="superscript"/>
          <w:lang w:val="sr-Latn-ME"/>
        </w:rPr>
        <w:footnoteReference w:id="8"/>
      </w:r>
    </w:p>
    <w:p w14:paraId="2C6738BA">
      <w:pPr>
        <w:spacing w:line="276" w:lineRule="auto"/>
        <w:jc w:val="both"/>
        <w:rPr>
          <w:rFonts w:ascii="Arial" w:hAnsi="Arial" w:cs="Arial"/>
          <w:color w:val="000000"/>
          <w:lang w:val="sr-Latn-ME"/>
        </w:rPr>
      </w:pPr>
    </w:p>
    <w:p w14:paraId="40FE6E44">
      <w:pPr>
        <w:spacing w:line="276" w:lineRule="auto"/>
        <w:jc w:val="both"/>
        <w:rPr>
          <w:rFonts w:ascii="Arial" w:hAnsi="Arial" w:cs="Arial"/>
          <w:color w:val="000000"/>
        </w:rPr>
      </w:pPr>
      <w:r>
        <w:rPr>
          <w:rFonts w:ascii="Arial" w:hAnsi="Arial" w:cs="Arial"/>
          <w:color w:val="000000"/>
        </w:rPr>
        <w:t xml:space="preserve">Dobavljač garantuje da je ponuđeno postrojenje za preradu kamena (drobilično postrojenje ) sa pratećom opremom novo i neupotrebljavano, i da nema stvarnih i pravnih nedostataka. </w:t>
      </w:r>
    </w:p>
    <w:p w14:paraId="4622A840">
      <w:pPr>
        <w:spacing w:line="276" w:lineRule="auto"/>
        <w:jc w:val="both"/>
        <w:rPr>
          <w:rFonts w:ascii="Arial" w:hAnsi="Arial" w:cs="Arial"/>
          <w:color w:val="000000"/>
        </w:rPr>
      </w:pPr>
      <w:r>
        <w:rPr>
          <w:rFonts w:ascii="Arial" w:hAnsi="Arial" w:cs="Arial"/>
          <w:color w:val="000000"/>
        </w:rPr>
        <w:t xml:space="preserve">Dobavljač se obavezuje da u toku garantnog roka bez odlaganja, o svom trošku, otkloni svaki nedostatak ili izvrši zamjenu koji nije posledica nepravilnog rukovanja Naručioca. Naručilac je u obavezi da svaki nedostatak ili kvar pisano prijavi Dobavljaču odmah po nastanku ili saznanju. Prijavu može da vrši isključivo ovlašćeni predstavnik Naručioca. </w:t>
      </w:r>
    </w:p>
    <w:p w14:paraId="48380223">
      <w:pPr>
        <w:spacing w:line="276" w:lineRule="auto"/>
        <w:jc w:val="both"/>
        <w:rPr>
          <w:rFonts w:ascii="Arial" w:hAnsi="Arial" w:cs="Arial"/>
          <w:color w:val="000000"/>
        </w:rPr>
      </w:pPr>
      <w:r>
        <w:rPr>
          <w:rFonts w:ascii="Arial" w:hAnsi="Arial" w:cs="Arial"/>
          <w:color w:val="000000"/>
        </w:rPr>
        <w:t xml:space="preserve">U periodu garantnog roka, Dobavljač je u obavezi u roku od 24 sata po prijemu pisanog obavještenja o nastalom kvaru, pristupi intervenciji na otklanjanju kvara. </w:t>
      </w:r>
    </w:p>
    <w:p w14:paraId="796835BC">
      <w:pPr>
        <w:spacing w:line="276" w:lineRule="auto"/>
        <w:jc w:val="both"/>
        <w:rPr>
          <w:rFonts w:ascii="Arial" w:hAnsi="Arial" w:cs="Arial"/>
          <w:color w:val="000000"/>
        </w:rPr>
      </w:pPr>
      <w:r>
        <w:rPr>
          <w:rFonts w:ascii="Arial" w:hAnsi="Arial" w:cs="Arial"/>
          <w:color w:val="000000"/>
        </w:rPr>
        <w:t xml:space="preserve">Rok za otklanjanje kvara iznosi maksimalno 3 dana od dana odaziva. Ukoliko je, u slučaju težeg kvara, za otklanjanje potrebno više od 3 dana, Dobavljač je dužan da Naručiocu dostavi pisani zahtjev za produženje roka za otklanjanje nastalog kvara sa obrazloženjem, na koji naručilac daje saglasnost. </w:t>
      </w:r>
    </w:p>
    <w:p w14:paraId="3109831D">
      <w:pPr>
        <w:spacing w:line="276" w:lineRule="auto"/>
        <w:jc w:val="both"/>
        <w:rPr>
          <w:rFonts w:ascii="Arial" w:hAnsi="Arial" w:cs="Arial"/>
          <w:color w:val="000000"/>
          <w:lang w:val="sr-Latn-ME"/>
        </w:rPr>
      </w:pPr>
      <w:r>
        <w:rPr>
          <w:rFonts w:ascii="Arial" w:hAnsi="Arial" w:cs="Arial"/>
          <w:color w:val="000000"/>
        </w:rPr>
        <w:t>U slučaju da Dobavljač ne može ukloniti kvar u roku od 15 dana od dana pristupanja servisera na otklanjanju kvara ili pribavi rezervni dio, dužan je da Naručiocu obezbijedi privremeno korišćenje drugog postrojenja o svom trošku, sve dok isti ne otkloni ili zamijeni novim postrojenjem/sredstvom istih ili boljih karakteristika.</w:t>
      </w:r>
    </w:p>
    <w:p w14:paraId="3E463875">
      <w:pPr>
        <w:spacing w:line="276" w:lineRule="auto"/>
        <w:jc w:val="both"/>
        <w:rPr>
          <w:rFonts w:ascii="Arial" w:hAnsi="Arial" w:cs="Arial"/>
          <w:color w:val="000000"/>
          <w:lang w:val="sr-Latn-ME"/>
        </w:rPr>
      </w:pPr>
      <w:r>
        <w:rPr>
          <w:rFonts w:ascii="Arial" w:hAnsi="Arial" w:cs="Arial"/>
          <w:color w:val="000000"/>
          <w:lang w:val="sr-Latn-ME"/>
        </w:rPr>
        <w:t xml:space="preserve">Ugovorna kazna za svaki dan kašnjenja isporuke ugovara se na iznos </w:t>
      </w:r>
      <w:r>
        <w:rPr>
          <w:rFonts w:ascii="Arial" w:hAnsi="Arial" w:cs="Arial"/>
          <w:color w:val="auto"/>
          <w:lang w:val="sr-Latn-ME"/>
        </w:rPr>
        <w:t>5‰</w:t>
      </w:r>
      <w:r>
        <w:rPr>
          <w:rFonts w:ascii="Arial" w:hAnsi="Arial" w:cs="Arial"/>
          <w:color w:val="000000"/>
          <w:lang w:val="sr-Latn-ME"/>
        </w:rPr>
        <w:t xml:space="preserve"> ugovorene cijene, s tim što ukupan iznos kazne ne može preći 10 % vrijednosti Ugovora.</w:t>
      </w:r>
    </w:p>
    <w:p w14:paraId="15D83599">
      <w:pPr>
        <w:spacing w:line="276" w:lineRule="auto"/>
        <w:jc w:val="both"/>
        <w:rPr>
          <w:rFonts w:ascii="Arial" w:hAnsi="Arial" w:cs="Arial"/>
          <w:color w:val="000000"/>
        </w:rPr>
      </w:pPr>
      <w:r>
        <w:rPr>
          <w:rFonts w:ascii="Arial" w:hAnsi="Arial" w:cs="Arial"/>
          <w:color w:val="000000"/>
        </w:rPr>
        <w:t xml:space="preserve">Isporuka, montaža i puštanje u rad postrojenja sa pratećom opremom je obaveza Dobavljača. </w:t>
      </w:r>
    </w:p>
    <w:p w14:paraId="7A384A03">
      <w:pPr>
        <w:spacing w:line="276" w:lineRule="auto"/>
        <w:jc w:val="both"/>
        <w:rPr>
          <w:rFonts w:ascii="Arial" w:hAnsi="Arial" w:cs="Arial"/>
          <w:color w:val="000000"/>
          <w:lang w:val="sr-Latn-ME"/>
        </w:rPr>
      </w:pPr>
      <w:r>
        <w:rPr>
          <w:rFonts w:ascii="Arial" w:hAnsi="Arial" w:cs="Arial"/>
          <w:color w:val="000000"/>
        </w:rPr>
        <w:t xml:space="preserve">Dobavljač je obavezan da prilikom izvršenja ugovora o javnoj nabaci, primijeni mjere Zakona o zaštiti i zdravlju na radu („Sl.list CG“, br. 084/24 od 06.09.2024.godine). </w:t>
      </w:r>
    </w:p>
    <w:p w14:paraId="225DE911">
      <w:pPr>
        <w:spacing w:line="276" w:lineRule="auto"/>
        <w:jc w:val="both"/>
        <w:rPr>
          <w:rFonts w:ascii="Arial" w:hAnsi="Arial" w:cs="Arial"/>
          <w:color w:val="000000"/>
          <w:lang w:val="sr-Latn-CS"/>
        </w:rPr>
      </w:pPr>
      <w:r>
        <w:rPr>
          <w:rFonts w:ascii="Arial" w:hAnsi="Arial" w:cs="Arial"/>
          <w:color w:val="000000"/>
          <w:lang w:val="sr-Latn-CS"/>
        </w:rPr>
        <w:t xml:space="preserve">Ugovorne strane su saglasne da do raskida ovog Ugovora će doći ako Dobavljač ne bude izvršavao svoje obaveze u roku i na način predviđen Ugovorom: </w:t>
      </w:r>
    </w:p>
    <w:p w14:paraId="07C2E87A">
      <w:pPr>
        <w:spacing w:line="276" w:lineRule="auto"/>
        <w:jc w:val="both"/>
        <w:rPr>
          <w:rFonts w:ascii="Arial" w:hAnsi="Arial" w:cs="Arial"/>
          <w:color w:val="000000"/>
          <w:lang w:val="sr-Latn-CS"/>
        </w:rPr>
      </w:pPr>
      <w:r>
        <w:rPr>
          <w:rFonts w:ascii="Arial" w:hAnsi="Arial" w:cs="Arial"/>
          <w:color w:val="000000"/>
          <w:lang w:val="sr-Latn-CS"/>
        </w:rPr>
        <w:t xml:space="preserve">-u slučaju kada Naručilac ustanovi da kvalitet drobiličnog postrojenja sa pratećom opremom koja je predmet ovog ugovora ili način na koji se isporučuje, odstupa od ugovorenog, odnosno ponuđenog kvaliteta iz ponude Dobavljača, </w:t>
      </w:r>
    </w:p>
    <w:p w14:paraId="5B5D45BE">
      <w:pPr>
        <w:spacing w:line="276" w:lineRule="auto"/>
        <w:jc w:val="both"/>
        <w:rPr>
          <w:rFonts w:ascii="Arial" w:hAnsi="Arial" w:cs="Arial"/>
          <w:color w:val="000000"/>
          <w:lang w:val="sr-Latn-CS"/>
        </w:rPr>
      </w:pPr>
      <w:r>
        <w:rPr>
          <w:rFonts w:ascii="Arial" w:hAnsi="Arial" w:cs="Arial"/>
          <w:color w:val="000000"/>
          <w:lang w:val="sr-Latn-CS"/>
        </w:rPr>
        <w:t>-u slučaju da se Dobavljač ne pridržava ugovorenog roka isporuke i nakon pisanog upozorenja Naručioca.</w:t>
      </w:r>
    </w:p>
    <w:p w14:paraId="504E48B8">
      <w:pPr>
        <w:spacing w:line="276" w:lineRule="auto"/>
        <w:jc w:val="both"/>
        <w:rPr>
          <w:rFonts w:ascii="Arial" w:hAnsi="Arial" w:cs="Arial"/>
          <w:bCs/>
          <w:color w:val="000000"/>
          <w:lang w:val="sr-Latn-CS"/>
        </w:rPr>
      </w:pPr>
      <w:r>
        <w:rPr>
          <w:rFonts w:ascii="Arial" w:hAnsi="Arial" w:cs="Arial"/>
          <w:bCs/>
          <w:color w:val="000000"/>
          <w:lang w:val="sr-Latn-CS"/>
        </w:rPr>
        <w:t>Naručilac će u slučaju uočavanja propusta u obavljanju posla pisanim putem da pozove</w:t>
      </w:r>
    </w:p>
    <w:p w14:paraId="745D1CDE">
      <w:pPr>
        <w:spacing w:line="276" w:lineRule="auto"/>
        <w:jc w:val="both"/>
        <w:rPr>
          <w:rFonts w:ascii="Arial" w:hAnsi="Arial" w:cs="Arial"/>
          <w:bCs/>
          <w:color w:val="000000"/>
          <w:lang w:val="sr-Latn-CS"/>
        </w:rPr>
      </w:pPr>
      <w:r>
        <w:rPr>
          <w:rFonts w:ascii="Arial" w:hAnsi="Arial" w:cs="Arial"/>
          <w:bCs/>
          <w:color w:val="000000"/>
          <w:lang w:val="sr-Latn-CS"/>
        </w:rPr>
        <w:t>Dobavljača i da putem Zapisnika zajednički konstatuju uzrok i obim uočenih propusta.Ukoliko se Dobavljač ne odazove pozivu Naručioca, Naručilac ima pravo da raskine ugovor i aktivira garanciju za dobro izvršenje ugovora.</w:t>
      </w:r>
    </w:p>
    <w:p w14:paraId="33295A39">
      <w:pPr>
        <w:spacing w:line="276" w:lineRule="auto"/>
        <w:jc w:val="both"/>
        <w:rPr>
          <w:rFonts w:ascii="Arial" w:hAnsi="Arial" w:cs="Arial"/>
          <w:bCs/>
          <w:color w:val="000000"/>
          <w:lang w:val="sr-Latn-CS"/>
        </w:rPr>
      </w:pPr>
      <w:r>
        <w:rPr>
          <w:rFonts w:ascii="Arial" w:hAnsi="Arial" w:cs="Arial"/>
          <w:bCs/>
          <w:color w:val="000000"/>
          <w:lang w:val="sr-Latn-CS"/>
        </w:rPr>
        <w:t>Ugovor o javnoj nabavci koji je zaključen uz kršenje antikorupcijskog pravila u smislu člana 38 stav 3 Zakona o javnim nabavkama („Službeni list CG“, br. 74/19) ništav je.</w:t>
      </w:r>
    </w:p>
    <w:p w14:paraId="547713FF">
      <w:pPr>
        <w:spacing w:line="276" w:lineRule="auto"/>
        <w:jc w:val="both"/>
        <w:rPr>
          <w:rFonts w:ascii="Arial" w:hAnsi="Arial" w:cs="Arial"/>
          <w:color w:val="000000"/>
          <w:lang w:val="sr-Latn-ME"/>
        </w:rPr>
      </w:pPr>
      <w:r>
        <w:rPr>
          <w:rFonts w:ascii="Arial" w:hAnsi="Arial" w:cs="Arial"/>
          <w:color w:val="000000"/>
          <w:lang w:val="sr-Latn-ME"/>
        </w:rPr>
        <w:t>Za sve što nije predviđeno ovim ugovorom primjenjuju se odredbe Zakona o obligacionim odnosima („Službeni list Crne Gore“, broj 47/08, 4/11 i 22/17).</w:t>
      </w:r>
    </w:p>
    <w:p w14:paraId="079A99A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76" w:lineRule="auto"/>
        <w:ind w:left="1080" w:leftChars="0" w:firstLineChars="0"/>
        <w:jc w:val="both"/>
        <w:outlineLvl w:val="0"/>
        <w:rPr>
          <w:rFonts w:ascii="Arial" w:hAnsi="Arial" w:cs="Arial"/>
          <w:lang w:val="sr-Latn-ME"/>
        </w:rPr>
      </w:pPr>
      <w:bookmarkStart w:id="18" w:name="_Toc62730566"/>
      <w:r>
        <w:rPr>
          <w:rFonts w:ascii="Arial" w:hAnsi="Arial"/>
          <w:b/>
          <w:szCs w:val="32"/>
          <w:lang w:val="sr-Latn-ME"/>
        </w:rPr>
        <w:t>ZAHTJEV ZA POJAŠNJENJE ILI IZMJENU I DOPUNU TENDERSKE DOKUMENTACIJE</w:t>
      </w:r>
      <w:bookmarkEnd w:id="18"/>
      <w:r>
        <w:rPr>
          <w:rFonts w:ascii="Arial" w:hAnsi="Arial"/>
          <w:b/>
          <w:szCs w:val="32"/>
          <w:lang w:val="sr-Latn-ME"/>
        </w:rPr>
        <w:t xml:space="preserve">  </w:t>
      </w:r>
    </w:p>
    <w:p w14:paraId="51043CD5">
      <w:pPr>
        <w:autoSpaceDE w:val="0"/>
        <w:autoSpaceDN w:val="0"/>
        <w:adjustRightInd w:val="0"/>
        <w:spacing w:line="276" w:lineRule="auto"/>
        <w:jc w:val="both"/>
        <w:rPr>
          <w:rFonts w:ascii="Arial" w:hAnsi="Arial" w:cs="Arial"/>
          <w:lang w:val="sr-Latn-ME"/>
        </w:rPr>
      </w:pPr>
      <w:r>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A9E8994">
      <w:pPr>
        <w:spacing w:line="276" w:lineRule="auto"/>
        <w:jc w:val="both"/>
        <w:rPr>
          <w:rFonts w:ascii="Arial" w:hAnsi="Arial" w:cs="Arial"/>
          <w:sz w:val="16"/>
          <w:szCs w:val="16"/>
          <w:lang w:val="sr-Latn-ME"/>
        </w:rPr>
      </w:pPr>
    </w:p>
    <w:p w14:paraId="1F10B036">
      <w:pPr>
        <w:spacing w:line="276" w:lineRule="auto"/>
        <w:jc w:val="both"/>
        <w:rPr>
          <w:rFonts w:ascii="Arial" w:hAnsi="Arial" w:cs="Arial"/>
          <w:lang w:val="sr-Latn-ME"/>
        </w:rPr>
      </w:pPr>
      <w:r>
        <w:rPr>
          <w:rFonts w:ascii="Arial" w:hAnsi="Arial" w:cs="Arial"/>
          <w:lang w:val="sr-Latn-ME"/>
        </w:rPr>
        <w:t>Privredni subjekat ima pravo da pisanim zahtjevom traži od naručioca pojašnjenje tenderske dokumentacije najkasnije deset dana prije isteka roka određenog za dostavljanje ponuda.</w:t>
      </w:r>
    </w:p>
    <w:p w14:paraId="5E44B8FE">
      <w:pPr>
        <w:spacing w:line="276" w:lineRule="auto"/>
        <w:jc w:val="both"/>
        <w:rPr>
          <w:rFonts w:ascii="Arial" w:hAnsi="Arial" w:cs="Arial"/>
          <w:lang w:val="sr-Latn-ME"/>
        </w:rPr>
      </w:pPr>
    </w:p>
    <w:p w14:paraId="1C4C7CB9">
      <w:pPr>
        <w:spacing w:line="276" w:lineRule="auto"/>
        <w:jc w:val="both"/>
        <w:rPr>
          <w:rFonts w:ascii="Arial" w:hAnsi="Arial" w:cs="Arial"/>
          <w:color w:val="000000"/>
          <w:lang w:val="sr-Latn-ME"/>
        </w:rPr>
      </w:pPr>
      <w:r>
        <w:rPr>
          <w:rFonts w:ascii="Arial" w:hAnsi="Arial" w:cs="Arial"/>
          <w:color w:val="000000"/>
          <w:lang w:val="sr-Latn-ME"/>
        </w:rPr>
        <w:t>Zahtjev se podnosi isključivo putem ESJN-a.</w:t>
      </w:r>
    </w:p>
    <w:p w14:paraId="47BD114F">
      <w:pPr>
        <w:spacing w:line="276" w:lineRule="auto"/>
        <w:jc w:val="both"/>
        <w:rPr>
          <w:rFonts w:ascii="Arial" w:hAnsi="Arial" w:cs="Arial"/>
          <w:color w:val="000000"/>
          <w:lang w:val="sr-Latn-ME"/>
        </w:rPr>
      </w:pPr>
    </w:p>
    <w:p w14:paraId="32F422EE">
      <w:pPr>
        <w:spacing w:line="276" w:lineRule="auto"/>
        <w:jc w:val="both"/>
        <w:rPr>
          <w:rFonts w:ascii="Arial" w:hAnsi="Arial" w:cs="Arial"/>
          <w:color w:val="000000"/>
          <w:lang w:val="sr-Latn-ME"/>
        </w:rPr>
      </w:pPr>
    </w:p>
    <w:p w14:paraId="3BB1A8E4">
      <w:pPr>
        <w:spacing w:line="276" w:lineRule="auto"/>
        <w:jc w:val="both"/>
        <w:rPr>
          <w:rFonts w:ascii="Arial" w:hAnsi="Arial" w:cs="Arial"/>
          <w:color w:val="000000"/>
          <w:lang w:val="sr-Latn-ME"/>
        </w:rPr>
      </w:pPr>
    </w:p>
    <w:p w14:paraId="74C44B66">
      <w:pPr>
        <w:spacing w:line="276" w:lineRule="auto"/>
        <w:jc w:val="both"/>
        <w:rPr>
          <w:rFonts w:ascii="Arial" w:hAnsi="Arial" w:cs="Arial"/>
          <w:color w:val="000000"/>
          <w:lang w:val="sr-Latn-ME"/>
        </w:rPr>
      </w:pPr>
    </w:p>
    <w:p w14:paraId="63C61821">
      <w:pPr>
        <w:spacing w:line="276" w:lineRule="auto"/>
        <w:jc w:val="both"/>
        <w:rPr>
          <w:rFonts w:ascii="Arial" w:hAnsi="Arial" w:cs="Arial"/>
          <w:color w:val="000000"/>
          <w:lang w:val="sr-Latn-ME"/>
        </w:rPr>
      </w:pPr>
    </w:p>
    <w:p w14:paraId="1EB2D673">
      <w:pPr>
        <w:spacing w:line="276" w:lineRule="auto"/>
        <w:jc w:val="both"/>
        <w:rPr>
          <w:rFonts w:ascii="Arial" w:hAnsi="Arial" w:cs="Arial"/>
          <w:color w:val="000000"/>
          <w:lang w:val="sr-Latn-ME"/>
        </w:rPr>
      </w:pPr>
    </w:p>
    <w:p w14:paraId="0C365FE6">
      <w:pPr>
        <w:spacing w:line="276" w:lineRule="auto"/>
        <w:jc w:val="both"/>
        <w:rPr>
          <w:rFonts w:ascii="Arial" w:hAnsi="Arial" w:cs="Arial"/>
          <w:color w:val="000000"/>
          <w:lang w:val="sr-Latn-ME"/>
        </w:rPr>
      </w:pPr>
    </w:p>
    <w:p w14:paraId="6C67CA98">
      <w:pPr>
        <w:spacing w:line="276" w:lineRule="auto"/>
        <w:jc w:val="both"/>
        <w:rPr>
          <w:rFonts w:ascii="Arial" w:hAnsi="Arial" w:cs="Arial"/>
          <w:color w:val="000000"/>
          <w:lang w:val="sr-Latn-ME"/>
        </w:rPr>
      </w:pPr>
    </w:p>
    <w:p w14:paraId="3C8ECBE1">
      <w:pPr>
        <w:spacing w:line="276" w:lineRule="auto"/>
        <w:jc w:val="both"/>
        <w:rPr>
          <w:rFonts w:ascii="Arial" w:hAnsi="Arial" w:cs="Arial"/>
          <w:color w:val="000000"/>
          <w:lang w:val="sr-Latn-ME"/>
        </w:rPr>
      </w:pPr>
    </w:p>
    <w:p w14:paraId="3E3F5961">
      <w:pPr>
        <w:spacing w:line="276" w:lineRule="auto"/>
        <w:jc w:val="both"/>
        <w:rPr>
          <w:rFonts w:ascii="Arial" w:hAnsi="Arial" w:cs="Arial"/>
          <w:color w:val="000000"/>
          <w:lang w:val="sr-Latn-ME"/>
        </w:rPr>
      </w:pPr>
    </w:p>
    <w:p w14:paraId="51ECF30A">
      <w:pPr>
        <w:spacing w:line="276" w:lineRule="auto"/>
        <w:jc w:val="both"/>
        <w:rPr>
          <w:rFonts w:ascii="Arial" w:hAnsi="Arial" w:cs="Arial"/>
          <w:color w:val="000000"/>
          <w:lang w:val="sr-Latn-ME"/>
        </w:rPr>
      </w:pPr>
    </w:p>
    <w:p w14:paraId="32C11F16">
      <w:pPr>
        <w:spacing w:line="276" w:lineRule="auto"/>
        <w:jc w:val="both"/>
        <w:rPr>
          <w:rFonts w:ascii="Arial" w:hAnsi="Arial" w:cs="Arial"/>
          <w:color w:val="000000"/>
          <w:lang w:val="sr-Latn-ME"/>
        </w:rPr>
      </w:pPr>
    </w:p>
    <w:p w14:paraId="36E869CC">
      <w:pPr>
        <w:spacing w:line="276" w:lineRule="auto"/>
        <w:jc w:val="both"/>
        <w:rPr>
          <w:rFonts w:ascii="Arial" w:hAnsi="Arial" w:cs="Arial"/>
          <w:color w:val="000000"/>
          <w:lang w:val="sr-Latn-ME"/>
        </w:rPr>
      </w:pPr>
    </w:p>
    <w:p w14:paraId="38053C5C">
      <w:pPr>
        <w:spacing w:line="276" w:lineRule="auto"/>
        <w:jc w:val="both"/>
        <w:rPr>
          <w:rFonts w:ascii="Arial" w:hAnsi="Arial" w:cs="Arial"/>
          <w:color w:val="000000"/>
          <w:lang w:val="sr-Latn-ME"/>
        </w:rPr>
      </w:pPr>
    </w:p>
    <w:p w14:paraId="173BADC3">
      <w:pPr>
        <w:spacing w:line="276" w:lineRule="auto"/>
        <w:jc w:val="both"/>
        <w:rPr>
          <w:rFonts w:ascii="Arial" w:hAnsi="Arial" w:cs="Arial"/>
          <w:color w:val="000000"/>
          <w:lang w:val="sr-Latn-ME"/>
        </w:rPr>
      </w:pPr>
    </w:p>
    <w:p w14:paraId="505E3A44">
      <w:pPr>
        <w:spacing w:line="276" w:lineRule="auto"/>
        <w:jc w:val="both"/>
        <w:rPr>
          <w:rFonts w:ascii="Arial" w:hAnsi="Arial" w:cs="Arial"/>
          <w:color w:val="000000"/>
          <w:lang w:val="sr-Latn-ME"/>
        </w:rPr>
      </w:pPr>
    </w:p>
    <w:p w14:paraId="0FECB57A">
      <w:pPr>
        <w:spacing w:line="276" w:lineRule="auto"/>
        <w:jc w:val="both"/>
        <w:rPr>
          <w:rFonts w:ascii="Arial" w:hAnsi="Arial" w:cs="Arial"/>
          <w:color w:val="000000"/>
          <w:lang w:val="sr-Latn-ME"/>
        </w:rPr>
      </w:pPr>
    </w:p>
    <w:p w14:paraId="678CBD5B">
      <w:pPr>
        <w:spacing w:line="276" w:lineRule="auto"/>
        <w:jc w:val="both"/>
        <w:rPr>
          <w:rFonts w:ascii="Arial" w:hAnsi="Arial" w:cs="Arial"/>
          <w:color w:val="000000"/>
          <w:lang w:val="sr-Latn-ME"/>
        </w:rPr>
      </w:pPr>
    </w:p>
    <w:p w14:paraId="16E9EF82">
      <w:pPr>
        <w:spacing w:line="276" w:lineRule="auto"/>
        <w:jc w:val="both"/>
        <w:rPr>
          <w:rFonts w:ascii="Arial" w:hAnsi="Arial" w:cs="Arial"/>
          <w:color w:val="000000"/>
          <w:lang w:val="sr-Latn-ME"/>
        </w:rPr>
      </w:pPr>
    </w:p>
    <w:p w14:paraId="76BF125F">
      <w:pPr>
        <w:spacing w:line="276" w:lineRule="auto"/>
        <w:jc w:val="both"/>
        <w:rPr>
          <w:rFonts w:ascii="Arial" w:hAnsi="Arial" w:cs="Arial"/>
          <w:color w:val="000000"/>
          <w:lang w:val="sr-Latn-ME"/>
        </w:rPr>
      </w:pPr>
    </w:p>
    <w:p w14:paraId="41D267AE">
      <w:pPr>
        <w:spacing w:line="276" w:lineRule="auto"/>
        <w:jc w:val="both"/>
        <w:rPr>
          <w:rFonts w:ascii="Arial" w:hAnsi="Arial" w:cs="Arial"/>
          <w:color w:val="000000"/>
          <w:lang w:val="sr-Latn-ME"/>
        </w:rPr>
      </w:pPr>
    </w:p>
    <w:p w14:paraId="3E5DAC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jc w:val="both"/>
        <w:outlineLvl w:val="0"/>
        <w:rPr>
          <w:rFonts w:ascii="Arial" w:hAnsi="Arial"/>
          <w:b/>
          <w:color w:val="000000"/>
          <w:szCs w:val="32"/>
          <w:lang w:val="sr-Latn-ME"/>
        </w:rPr>
      </w:pPr>
      <w:bookmarkStart w:id="19" w:name="_Toc416180136"/>
      <w:bookmarkStart w:id="20" w:name="_Toc62730567"/>
      <w:bookmarkStart w:id="21" w:name="_Toc508349235"/>
      <w:r>
        <w:rPr>
          <w:rFonts w:ascii="Arial" w:hAnsi="Arial"/>
          <w:b/>
          <w:szCs w:val="32"/>
          <w:lang w:val="sr-Latn-ME"/>
        </w:rPr>
        <w:t xml:space="preserve"> </w:t>
      </w:r>
      <w:bookmarkStart w:id="22" w:name="_Hlk194926297"/>
      <w:r>
        <w:rPr>
          <w:rFonts w:ascii="Arial" w:hAnsi="Arial"/>
          <w:b/>
          <w:szCs w:val="32"/>
          <w:lang w:val="sr-Latn-ME"/>
        </w:rPr>
        <w:t>IZJAVA NARUČIOCA O NEPOSTOJANJU SUKOBA INTERESA</w:t>
      </w:r>
      <w:bookmarkEnd w:id="19"/>
      <w:bookmarkEnd w:id="20"/>
      <w:bookmarkEnd w:id="21"/>
    </w:p>
    <w:bookmarkEnd w:id="22"/>
    <w:p w14:paraId="5228B730">
      <w:pPr>
        <w:tabs>
          <w:tab w:val="left" w:pos="1701"/>
          <w:tab w:val="left" w:pos="4820"/>
        </w:tabs>
        <w:jc w:val="both"/>
        <w:rPr>
          <w:rFonts w:ascii="Arial" w:hAnsi="Arial" w:cs="Arial"/>
          <w:color w:val="000000"/>
          <w:sz w:val="20"/>
          <w:szCs w:val="20"/>
          <w:lang w:val="sr-Latn-ME"/>
        </w:rPr>
      </w:pPr>
      <w:r>
        <w:rPr>
          <w:rFonts w:ascii="Arial" w:hAnsi="Arial" w:cs="Arial"/>
          <w:color w:val="000000"/>
          <w:sz w:val="20"/>
          <w:szCs w:val="20"/>
          <w:lang w:val="sr-Latn-ME"/>
        </w:rPr>
        <w:t>Putevi doo Podgorica</w:t>
      </w:r>
    </w:p>
    <w:p w14:paraId="7F0889DF">
      <w:pPr>
        <w:jc w:val="both"/>
        <w:rPr>
          <w:rFonts w:ascii="Arial" w:hAnsi="Arial" w:cs="Arial"/>
          <w:color w:val="000000"/>
          <w:sz w:val="20"/>
          <w:szCs w:val="20"/>
          <w:lang w:val="sr-Latn-ME"/>
        </w:rPr>
      </w:pPr>
      <w:r>
        <w:rPr>
          <w:rFonts w:ascii="Arial" w:hAnsi="Arial" w:cs="Arial"/>
          <w:color w:val="000000"/>
          <w:sz w:val="20"/>
          <w:szCs w:val="20"/>
        </w:rPr>
        <w:t xml:space="preserve">Broj: </w:t>
      </w:r>
      <w:r>
        <w:rPr>
          <w:rFonts w:ascii="Arial" w:hAnsi="Arial" w:cs="Arial"/>
          <w:color w:val="000000"/>
          <w:sz w:val="20"/>
          <w:szCs w:val="20"/>
          <w:lang w:val="sr-Latn-ME"/>
        </w:rPr>
        <w:t>14124</w:t>
      </w:r>
    </w:p>
    <w:p w14:paraId="059E1D43">
      <w:pPr>
        <w:jc w:val="both"/>
        <w:rPr>
          <w:rFonts w:ascii="Arial" w:hAnsi="Arial" w:cs="Arial"/>
          <w:color w:val="000000"/>
          <w:sz w:val="20"/>
          <w:szCs w:val="20"/>
        </w:rPr>
      </w:pPr>
      <w:r>
        <w:rPr>
          <w:rFonts w:ascii="Arial" w:hAnsi="Arial" w:cs="Arial"/>
          <w:color w:val="000000"/>
          <w:sz w:val="20"/>
          <w:szCs w:val="20"/>
        </w:rPr>
        <w:t>Mjesto i datum:</w:t>
      </w:r>
      <w:r>
        <w:rPr>
          <w:rFonts w:ascii="Arial" w:hAnsi="Arial" w:cs="Arial"/>
          <w:color w:val="000000"/>
          <w:sz w:val="20"/>
          <w:szCs w:val="20"/>
          <w:lang w:val="sr-Latn-ME"/>
        </w:rPr>
        <w:t xml:space="preserve"> Podgorica, 25.11.2025.godine</w:t>
      </w:r>
    </w:p>
    <w:p w14:paraId="1DD54086">
      <w:pPr>
        <w:tabs>
          <w:tab w:val="left" w:pos="3290"/>
        </w:tabs>
        <w:ind w:firstLine="708"/>
        <w:jc w:val="both"/>
        <w:rPr>
          <w:rFonts w:ascii="Arial" w:hAnsi="Arial" w:cs="Arial"/>
          <w:b/>
          <w:bCs/>
          <w:color w:val="000000"/>
          <w:sz w:val="20"/>
          <w:szCs w:val="20"/>
        </w:rPr>
      </w:pPr>
      <w:r>
        <w:rPr>
          <w:rFonts w:ascii="Arial" w:hAnsi="Arial" w:cs="Arial"/>
          <w:color w:val="000000"/>
          <w:sz w:val="20"/>
          <w:szCs w:val="20"/>
        </w:rPr>
        <w:t>U skladu sa članom 43 stav 1 Zakona o javnim nabavkama („Službeni list CG”, br.74/19</w:t>
      </w:r>
      <w:r>
        <w:rPr>
          <w:rFonts w:ascii="Arial" w:hAnsi="Arial" w:cs="Arial"/>
          <w:color w:val="000000"/>
          <w:sz w:val="20"/>
          <w:szCs w:val="20"/>
          <w:lang w:val="sr-Latn-ME"/>
        </w:rPr>
        <w:t xml:space="preserve"> i 3/23 i 011/23</w:t>
      </w:r>
      <w:r>
        <w:rPr>
          <w:rFonts w:ascii="Arial" w:hAnsi="Arial" w:cs="Arial"/>
          <w:color w:val="000000"/>
          <w:sz w:val="20"/>
          <w:szCs w:val="20"/>
        </w:rPr>
        <w:t xml:space="preserve">), </w:t>
      </w:r>
    </w:p>
    <w:p w14:paraId="7365B527">
      <w:pPr>
        <w:tabs>
          <w:tab w:val="left" w:pos="3290"/>
        </w:tabs>
        <w:jc w:val="center"/>
        <w:rPr>
          <w:rFonts w:ascii="Arial" w:hAnsi="Arial" w:cs="Arial"/>
          <w:b/>
          <w:bCs/>
          <w:color w:val="000000"/>
          <w:sz w:val="20"/>
          <w:szCs w:val="20"/>
        </w:rPr>
      </w:pPr>
      <w:r>
        <w:rPr>
          <w:rFonts w:ascii="Arial" w:hAnsi="Arial" w:cs="Arial"/>
          <w:b/>
          <w:bCs/>
          <w:color w:val="000000"/>
          <w:sz w:val="20"/>
          <w:szCs w:val="20"/>
        </w:rPr>
        <w:t>Izjavljujem</w:t>
      </w:r>
    </w:p>
    <w:p w14:paraId="1FE394A7">
      <w:pPr>
        <w:jc w:val="both"/>
        <w:rPr>
          <w:rFonts w:ascii="Arial" w:hAnsi="Arial" w:cs="Arial"/>
          <w:color w:val="000000"/>
          <w:sz w:val="20"/>
          <w:szCs w:val="20"/>
        </w:rPr>
      </w:pPr>
      <w:r>
        <w:rPr>
          <w:rFonts w:ascii="Arial" w:hAnsi="Arial" w:cs="Arial"/>
          <w:color w:val="000000"/>
          <w:sz w:val="20"/>
          <w:szCs w:val="20"/>
        </w:rPr>
        <w:t xml:space="preserve">da u postupku javne nabavke redni broj </w:t>
      </w:r>
      <w:r>
        <w:rPr>
          <w:rFonts w:ascii="Arial" w:hAnsi="Arial" w:cs="Arial"/>
          <w:color w:val="000000"/>
          <w:sz w:val="20"/>
          <w:szCs w:val="20"/>
          <w:lang w:val="sr-Latn-ME"/>
        </w:rPr>
        <w:t>10</w:t>
      </w:r>
      <w:r>
        <w:rPr>
          <w:rFonts w:ascii="Arial" w:hAnsi="Arial" w:cs="Arial"/>
          <w:color w:val="000000"/>
          <w:sz w:val="20"/>
          <w:szCs w:val="20"/>
        </w:rPr>
        <w:t xml:space="preserve"> iz Plana javn</w:t>
      </w:r>
      <w:r>
        <w:rPr>
          <w:rFonts w:ascii="Arial" w:hAnsi="Arial" w:cs="Arial"/>
          <w:color w:val="000000"/>
          <w:sz w:val="20"/>
          <w:szCs w:val="20"/>
          <w:lang w:val="sr-Latn-ME"/>
        </w:rPr>
        <w:t>ih</w:t>
      </w:r>
      <w:r>
        <w:rPr>
          <w:rFonts w:ascii="Arial" w:hAnsi="Arial" w:cs="Arial"/>
          <w:color w:val="000000"/>
          <w:sz w:val="20"/>
          <w:szCs w:val="20"/>
        </w:rPr>
        <w:t xml:space="preserve"> nabavk</w:t>
      </w:r>
      <w:r>
        <w:rPr>
          <w:rFonts w:ascii="Arial" w:hAnsi="Arial" w:cs="Arial"/>
          <w:color w:val="000000"/>
          <w:sz w:val="20"/>
          <w:szCs w:val="20"/>
          <w:lang w:val="sr-Latn-ME"/>
        </w:rPr>
        <w:t>i</w:t>
      </w:r>
      <w:r>
        <w:rPr>
          <w:rFonts w:ascii="Arial" w:hAnsi="Arial" w:cs="Arial"/>
          <w:color w:val="000000"/>
          <w:sz w:val="20"/>
          <w:szCs w:val="20"/>
        </w:rPr>
        <w:t xml:space="preserve">  </w:t>
      </w:r>
      <w:r>
        <w:rPr>
          <w:rFonts w:ascii="Arial" w:hAnsi="Arial" w:cs="Arial"/>
          <w:sz w:val="20"/>
          <w:szCs w:val="20"/>
        </w:rPr>
        <w:t xml:space="preserve">br. </w:t>
      </w:r>
      <w:r>
        <w:rPr>
          <w:rFonts w:ascii="Arial" w:hAnsi="Arial" w:cs="Arial"/>
          <w:sz w:val="20"/>
          <w:szCs w:val="20"/>
          <w:lang w:val="sr-Latn-ME"/>
        </w:rPr>
        <w:t>22147</w:t>
      </w:r>
      <w:r>
        <w:rPr>
          <w:rFonts w:ascii="Arial" w:hAnsi="Arial" w:cs="Arial"/>
          <w:sz w:val="20"/>
          <w:szCs w:val="20"/>
        </w:rPr>
        <w:t>,</w:t>
      </w:r>
      <w:r>
        <w:rPr>
          <w:rFonts w:ascii="Arial" w:hAnsi="Arial" w:cs="Arial"/>
          <w:sz w:val="20"/>
          <w:szCs w:val="20"/>
          <w:lang w:val="pl-PL"/>
        </w:rPr>
        <w:t xml:space="preserve"> objavljenog na portalu  </w:t>
      </w:r>
      <w:r>
        <w:rPr>
          <w:rFonts w:ascii="Arial" w:hAnsi="Arial" w:cs="Arial"/>
          <w:sz w:val="20"/>
          <w:szCs w:val="20"/>
        </w:rPr>
        <w:t>Direktorata za politiku javnih nabavki,</w:t>
      </w:r>
      <w:r>
        <w:rPr>
          <w:rFonts w:ascii="Arial" w:hAnsi="Arial" w:cs="Arial"/>
          <w:sz w:val="20"/>
          <w:szCs w:val="20"/>
          <w:lang w:val="pl-PL"/>
        </w:rPr>
        <w:t xml:space="preserve"> dana </w:t>
      </w:r>
      <w:r>
        <w:rPr>
          <w:rFonts w:ascii="Arial" w:hAnsi="Arial" w:cs="Arial"/>
          <w:sz w:val="20"/>
          <w:szCs w:val="20"/>
          <w:lang w:val="sr-Latn-ME"/>
        </w:rPr>
        <w:t>07. novembra</w:t>
      </w:r>
      <w:r>
        <w:rPr>
          <w:rFonts w:ascii="Arial" w:hAnsi="Arial" w:cs="Arial"/>
          <w:sz w:val="20"/>
          <w:szCs w:val="20"/>
        </w:rPr>
        <w:t xml:space="preserve"> </w:t>
      </w:r>
      <w:r>
        <w:rPr>
          <w:rFonts w:ascii="Arial" w:hAnsi="Arial" w:cs="Arial"/>
          <w:sz w:val="20"/>
          <w:szCs w:val="20"/>
          <w:lang w:val="pl-PL"/>
        </w:rPr>
        <w:t>20</w:t>
      </w:r>
      <w:r>
        <w:rPr>
          <w:rFonts w:ascii="Arial" w:hAnsi="Arial" w:cs="Arial"/>
          <w:sz w:val="20"/>
          <w:szCs w:val="20"/>
        </w:rPr>
        <w:t>2</w:t>
      </w:r>
      <w:r>
        <w:rPr>
          <w:rFonts w:ascii="Arial" w:hAnsi="Arial" w:cs="Arial"/>
          <w:sz w:val="20"/>
          <w:szCs w:val="20"/>
          <w:lang w:val="sr-Latn-ME"/>
        </w:rPr>
        <w:t>5</w:t>
      </w:r>
      <w:r>
        <w:rPr>
          <w:rFonts w:ascii="Arial" w:hAnsi="Arial" w:cs="Arial"/>
          <w:sz w:val="20"/>
          <w:szCs w:val="20"/>
          <w:lang w:val="pl-PL"/>
        </w:rPr>
        <w:t>.godine</w:t>
      </w:r>
      <w:r>
        <w:rPr>
          <w:rFonts w:ascii="Arial" w:hAnsi="Arial" w:cs="Arial"/>
          <w:sz w:val="20"/>
          <w:szCs w:val="20"/>
          <w:lang w:val="sl-SI"/>
        </w:rPr>
        <w:t>,</w:t>
      </w:r>
      <w:r>
        <w:rPr>
          <w:rFonts w:ascii="Arial" w:hAnsi="Arial" w:cs="Arial"/>
          <w:sz w:val="20"/>
          <w:szCs w:val="20"/>
        </w:rPr>
        <w:t xml:space="preserve"> zaveden</w:t>
      </w:r>
      <w:r>
        <w:rPr>
          <w:rFonts w:ascii="Arial" w:hAnsi="Arial" w:cs="Arial"/>
          <w:sz w:val="20"/>
          <w:szCs w:val="20"/>
          <w:lang w:val="sr-Latn-ME"/>
        </w:rPr>
        <w:t>im</w:t>
      </w:r>
      <w:r>
        <w:rPr>
          <w:rFonts w:ascii="Arial" w:hAnsi="Arial" w:cs="Arial"/>
          <w:sz w:val="20"/>
          <w:szCs w:val="20"/>
        </w:rPr>
        <w:t xml:space="preserve"> pod brojem </w:t>
      </w:r>
      <w:r>
        <w:rPr>
          <w:rFonts w:ascii="Arial" w:hAnsi="Arial" w:cs="Arial"/>
          <w:sz w:val="20"/>
          <w:szCs w:val="20"/>
          <w:lang w:val="sr-Latn-ME"/>
        </w:rPr>
        <w:t>2567/5</w:t>
      </w:r>
      <w:r>
        <w:rPr>
          <w:rFonts w:ascii="Arial" w:hAnsi="Arial" w:cs="Arial"/>
          <w:sz w:val="20"/>
          <w:szCs w:val="20"/>
        </w:rPr>
        <w:t>,</w:t>
      </w:r>
      <w:r>
        <w:rPr>
          <w:rFonts w:ascii="Arial" w:hAnsi="Arial" w:cs="Arial"/>
          <w:color w:val="000000"/>
          <w:sz w:val="20"/>
          <w:szCs w:val="20"/>
        </w:rPr>
        <w:t xml:space="preserve"> za nabavku </w:t>
      </w:r>
      <w:r>
        <w:rPr>
          <w:rFonts w:ascii="Arial" w:hAnsi="Arial" w:cs="Arial"/>
          <w:color w:val="000000"/>
          <w:sz w:val="20"/>
          <w:szCs w:val="20"/>
          <w:lang w:val="sr-Latn-ME"/>
        </w:rPr>
        <w:t xml:space="preserve">robe - </w:t>
      </w:r>
      <w:r>
        <w:rPr>
          <w:rFonts w:ascii="Arial" w:hAnsi="Arial"/>
          <w:color w:val="000000"/>
          <w:sz w:val="20"/>
          <w:szCs w:val="20"/>
          <w:lang w:val="sr-Latn-ME"/>
        </w:rPr>
        <w:t xml:space="preserve">Postrojenje za preradu kamena (drobilično postrojenje ) sa pratećom opremom, </w:t>
      </w:r>
      <w:r>
        <w:rPr>
          <w:rFonts w:ascii="Arial" w:hAnsi="Arial" w:cs="Arial"/>
          <w:color w:val="000000"/>
          <w:sz w:val="20"/>
          <w:szCs w:val="20"/>
        </w:rPr>
        <w:t>nijesam u sukobu interesa u smislu člana 41 stav 1 tačka 1 Zakona o javnim nabavkama i da ne postoji ekonomski i drugi lični interes koji može uticati na moju nepristrasnost i nezavisnost u ovom postupku javne nabavke.</w:t>
      </w:r>
    </w:p>
    <w:p w14:paraId="78CA8B54">
      <w:pPr>
        <w:tabs>
          <w:tab w:val="left" w:pos="3290"/>
        </w:tabs>
        <w:jc w:val="both"/>
        <w:rPr>
          <w:rFonts w:ascii="Arial" w:hAnsi="Arial" w:cs="Arial"/>
          <w:color w:val="000000"/>
          <w:sz w:val="20"/>
          <w:szCs w:val="20"/>
        </w:rPr>
      </w:pPr>
    </w:p>
    <w:p w14:paraId="0D500C5B">
      <w:pPr>
        <w:jc w:val="center"/>
        <w:rPr>
          <w:rFonts w:ascii="Arial" w:hAnsi="Arial" w:cs="Arial"/>
          <w:b/>
          <w:color w:val="000000"/>
          <w:sz w:val="20"/>
          <w:szCs w:val="20"/>
        </w:rPr>
      </w:pPr>
      <w:r>
        <w:rPr>
          <w:rFonts w:ascii="Arial" w:hAnsi="Arial" w:cs="Arial"/>
          <w:color w:val="000000"/>
          <w:sz w:val="20"/>
          <w:szCs w:val="20"/>
        </w:rPr>
        <w:t xml:space="preserve">                                                                                                    </w:t>
      </w:r>
      <w:r>
        <w:rPr>
          <w:rFonts w:ascii="Arial" w:hAnsi="Arial" w:cs="Arial"/>
          <w:color w:val="000000"/>
          <w:sz w:val="20"/>
          <w:szCs w:val="20"/>
          <w:lang w:val="sr-Latn-ME"/>
        </w:rPr>
        <w:t xml:space="preserve">    </w:t>
      </w:r>
      <w:r>
        <w:rPr>
          <w:rFonts w:ascii="Arial" w:hAnsi="Arial" w:cs="Arial"/>
          <w:color w:val="000000"/>
          <w:sz w:val="20"/>
          <w:szCs w:val="20"/>
        </w:rPr>
        <w:t xml:space="preserve">     </w:t>
      </w:r>
      <w:r>
        <w:rPr>
          <w:rFonts w:ascii="Arial" w:hAnsi="Arial" w:cs="Arial"/>
          <w:color w:val="000000"/>
          <w:sz w:val="20"/>
          <w:szCs w:val="20"/>
          <w:lang w:val="sr-Latn-ME"/>
        </w:rPr>
        <w:t xml:space="preserve">            </w:t>
      </w:r>
      <w:r>
        <w:rPr>
          <w:rFonts w:ascii="Arial" w:hAnsi="Arial" w:cs="Arial"/>
          <w:b/>
          <w:color w:val="000000"/>
          <w:sz w:val="20"/>
          <w:szCs w:val="20"/>
        </w:rPr>
        <w:t>Ovlaš</w:t>
      </w:r>
      <w:r>
        <w:rPr>
          <w:rFonts w:ascii="Arial" w:hAnsi="Arial" w:cs="Arial"/>
          <w:b/>
          <w:color w:val="000000"/>
          <w:sz w:val="20"/>
          <w:szCs w:val="20"/>
          <w:lang w:val="sr-Latn-ME"/>
        </w:rPr>
        <w:t>ć</w:t>
      </w:r>
      <w:r>
        <w:rPr>
          <w:rFonts w:ascii="Arial" w:hAnsi="Arial" w:cs="Arial"/>
          <w:b/>
          <w:color w:val="000000"/>
          <w:sz w:val="20"/>
          <w:szCs w:val="20"/>
        </w:rPr>
        <w:t xml:space="preserve">eno lice naručioca </w:t>
      </w:r>
    </w:p>
    <w:p w14:paraId="52F6B5D5">
      <w:pPr>
        <w:jc w:val="center"/>
        <w:rPr>
          <w:rFonts w:ascii="Arial" w:hAnsi="Arial" w:eastAsia="Calibri" w:cs="Arial"/>
          <w:b/>
          <w:color w:val="000000"/>
          <w:sz w:val="20"/>
          <w:szCs w:val="20"/>
        </w:rPr>
      </w:pPr>
      <w:r>
        <w:rPr>
          <w:rFonts w:ascii="Arial" w:hAnsi="Arial" w:eastAsia="Calibri" w:cs="Arial"/>
          <w:b/>
          <w:color w:val="000000"/>
          <w:sz w:val="20"/>
          <w:szCs w:val="20"/>
        </w:rPr>
        <w:t xml:space="preserve">                                                                                                    </w:t>
      </w:r>
      <w:r>
        <w:rPr>
          <w:rFonts w:ascii="Arial" w:hAnsi="Arial" w:eastAsia="Calibri" w:cs="Arial"/>
          <w:b/>
          <w:color w:val="000000"/>
          <w:sz w:val="20"/>
          <w:szCs w:val="20"/>
          <w:lang w:val="sr-Latn-ME"/>
        </w:rPr>
        <w:t xml:space="preserve">                          </w:t>
      </w:r>
      <w:r>
        <w:rPr>
          <w:rFonts w:ascii="Arial" w:hAnsi="Arial" w:eastAsia="Calibri" w:cs="Arial"/>
          <w:b/>
          <w:color w:val="000000"/>
          <w:sz w:val="20"/>
          <w:szCs w:val="20"/>
        </w:rPr>
        <w:t>Izvršni direktor</w:t>
      </w:r>
    </w:p>
    <w:p w14:paraId="5DAA7DC0">
      <w:pPr>
        <w:jc w:val="center"/>
        <w:rPr>
          <w:rFonts w:ascii="Arial" w:hAnsi="Arial" w:eastAsia="Calibri" w:cs="Arial"/>
          <w:color w:val="000000"/>
          <w:sz w:val="20"/>
          <w:szCs w:val="20"/>
        </w:rPr>
      </w:pPr>
      <w:r>
        <w:rPr>
          <w:rFonts w:ascii="Arial" w:hAnsi="Arial" w:eastAsia="Calibri" w:cs="Arial"/>
          <w:color w:val="000000"/>
          <w:sz w:val="20"/>
          <w:szCs w:val="20"/>
        </w:rPr>
        <w:t xml:space="preserve">                                                                                      </w:t>
      </w:r>
      <w:r>
        <w:rPr>
          <w:rFonts w:ascii="Arial" w:hAnsi="Arial" w:eastAsia="Calibri" w:cs="Arial"/>
          <w:color w:val="000000"/>
          <w:sz w:val="20"/>
          <w:szCs w:val="20"/>
          <w:lang w:val="sr-Latn-ME"/>
        </w:rPr>
        <w:t xml:space="preserve">              </w:t>
      </w:r>
      <w:r>
        <w:rPr>
          <w:rFonts w:ascii="Arial" w:hAnsi="Arial" w:eastAsia="Calibri" w:cs="Arial"/>
          <w:color w:val="000000"/>
          <w:sz w:val="20"/>
          <w:szCs w:val="20"/>
        </w:rPr>
        <w:t xml:space="preserve"> </w:t>
      </w:r>
      <w:r>
        <w:rPr>
          <w:rFonts w:ascii="Arial" w:hAnsi="Arial" w:eastAsia="Calibri" w:cs="Arial"/>
          <w:color w:val="000000"/>
          <w:sz w:val="20"/>
          <w:szCs w:val="20"/>
          <w:lang w:val="sr-Latn-ME"/>
        </w:rPr>
        <w:t xml:space="preserve">                  </w:t>
      </w:r>
      <w:r>
        <w:rPr>
          <w:rFonts w:ascii="Arial" w:hAnsi="Arial" w:eastAsia="Calibri" w:cs="Arial"/>
          <w:color w:val="000000"/>
          <w:sz w:val="20"/>
          <w:szCs w:val="20"/>
        </w:rPr>
        <w:t>Radoš Zečević</w:t>
      </w:r>
    </w:p>
    <w:p w14:paraId="70A712A0">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w:t>
      </w:r>
    </w:p>
    <w:p w14:paraId="54828932">
      <w:pPr>
        <w:tabs>
          <w:tab w:val="left" w:pos="3290"/>
        </w:tabs>
        <w:ind w:left="5664" w:firstLine="708"/>
        <w:jc w:val="center"/>
        <w:rPr>
          <w:rFonts w:ascii="Arial" w:hAnsi="Arial" w:cs="Arial"/>
          <w:i/>
          <w:iCs/>
          <w:color w:val="000000"/>
          <w:sz w:val="20"/>
          <w:szCs w:val="20"/>
        </w:rPr>
      </w:pPr>
      <w:r>
        <w:rPr>
          <w:rFonts w:ascii="Arial" w:hAnsi="Arial" w:cs="Arial"/>
          <w:i/>
          <w:iCs/>
          <w:color w:val="000000"/>
          <w:sz w:val="20"/>
          <w:szCs w:val="20"/>
        </w:rPr>
        <w:t xml:space="preserve">      </w:t>
      </w:r>
      <w:r>
        <w:rPr>
          <w:rFonts w:ascii="Arial" w:hAnsi="Arial" w:cs="Arial"/>
          <w:i/>
          <w:iCs/>
          <w:color w:val="000000"/>
          <w:sz w:val="20"/>
          <w:szCs w:val="20"/>
          <w:lang w:val="sr-Latn-ME"/>
        </w:rPr>
        <w:t xml:space="preserve">    </w:t>
      </w:r>
      <w:r>
        <w:rPr>
          <w:rFonts w:ascii="Arial" w:hAnsi="Arial" w:cs="Arial"/>
          <w:i/>
          <w:iCs/>
          <w:color w:val="000000"/>
          <w:sz w:val="20"/>
          <w:szCs w:val="20"/>
        </w:rPr>
        <w:t xml:space="preserve"> s.r.</w:t>
      </w:r>
    </w:p>
    <w:p w14:paraId="2ED633C8">
      <w:pPr>
        <w:ind w:firstLine="1134"/>
        <w:jc w:val="right"/>
        <w:rPr>
          <w:rFonts w:ascii="Arial" w:hAnsi="Arial" w:eastAsia="Calibri" w:cs="Arial"/>
          <w:b/>
          <w:sz w:val="20"/>
          <w:szCs w:val="20"/>
        </w:rPr>
      </w:pPr>
      <w:r>
        <w:rPr>
          <w:rFonts w:ascii="Arial" w:hAnsi="Arial" w:cs="Arial"/>
          <w:b/>
          <w:color w:val="000000"/>
          <w:sz w:val="20"/>
          <w:szCs w:val="20"/>
        </w:rPr>
        <w:t>Službenik za javne nabavke</w:t>
      </w:r>
      <w:r>
        <w:rPr>
          <w:rFonts w:ascii="Arial" w:hAnsi="Arial" w:eastAsia="Calibri" w:cs="Arial"/>
          <w:b/>
          <w:sz w:val="20"/>
          <w:szCs w:val="20"/>
        </w:rPr>
        <w:t xml:space="preserve"> </w:t>
      </w:r>
    </w:p>
    <w:p w14:paraId="6A8D59B8">
      <w:pPr>
        <w:wordWrap w:val="0"/>
        <w:ind w:firstLine="1134"/>
        <w:jc w:val="center"/>
        <w:rPr>
          <w:rFonts w:ascii="Arial" w:hAnsi="Arial" w:eastAsia="Calibri" w:cs="Arial"/>
          <w:bCs/>
          <w:sz w:val="20"/>
          <w:szCs w:val="20"/>
        </w:rPr>
      </w:pPr>
      <w:r>
        <w:rPr>
          <w:rFonts w:ascii="Arial" w:hAnsi="Arial" w:eastAsia="Calibri" w:cs="Arial"/>
          <w:bCs/>
          <w:sz w:val="20"/>
          <w:szCs w:val="20"/>
          <w:lang w:val="sr-Latn-ME"/>
        </w:rPr>
        <w:t xml:space="preserve">                                                                                                  </w:t>
      </w:r>
      <w:r>
        <w:rPr>
          <w:rFonts w:ascii="Arial" w:hAnsi="Arial" w:eastAsia="Calibri" w:cs="Arial"/>
          <w:bCs/>
          <w:sz w:val="20"/>
          <w:szCs w:val="20"/>
        </w:rPr>
        <w:t xml:space="preserve"> Miloš Vučelić</w:t>
      </w:r>
    </w:p>
    <w:p w14:paraId="4BB7CE6C">
      <w:pPr>
        <w:tabs>
          <w:tab w:val="left" w:pos="3290"/>
        </w:tabs>
        <w:ind w:firstLine="1134"/>
        <w:jc w:val="right"/>
        <w:rPr>
          <w:rFonts w:ascii="Arial" w:hAnsi="Arial" w:cs="Arial"/>
          <w:bCs/>
          <w:color w:val="000000"/>
          <w:sz w:val="20"/>
          <w:szCs w:val="20"/>
        </w:rPr>
      </w:pPr>
      <w:r>
        <w:rPr>
          <w:rFonts w:ascii="Arial" w:hAnsi="Arial" w:cs="Arial"/>
          <w:bCs/>
          <w:color w:val="000000"/>
          <w:sz w:val="20"/>
          <w:szCs w:val="20"/>
        </w:rPr>
        <w:t>_______________________</w:t>
      </w:r>
    </w:p>
    <w:p w14:paraId="6576D242">
      <w:pPr>
        <w:ind w:left="6372"/>
        <w:jc w:val="center"/>
        <w:rPr>
          <w:rFonts w:ascii="Arial" w:hAnsi="Arial" w:cs="Arial"/>
          <w:bCs/>
          <w:i/>
          <w:iCs/>
          <w:color w:val="000000"/>
          <w:sz w:val="20"/>
          <w:szCs w:val="20"/>
        </w:rPr>
      </w:pPr>
      <w:r>
        <w:rPr>
          <w:rFonts w:ascii="Arial" w:hAnsi="Arial" w:cs="Arial"/>
          <w:bCs/>
          <w:i/>
          <w:iCs/>
          <w:color w:val="000000"/>
          <w:sz w:val="20"/>
          <w:szCs w:val="20"/>
        </w:rPr>
        <w:t xml:space="preserve">              s.r.</w:t>
      </w:r>
    </w:p>
    <w:p w14:paraId="1A6D23B1">
      <w:pPr>
        <w:tabs>
          <w:tab w:val="left" w:pos="3290"/>
        </w:tabs>
        <w:ind w:firstLine="1134"/>
        <w:jc w:val="right"/>
        <w:rPr>
          <w:rFonts w:ascii="Arial" w:hAnsi="Arial" w:cs="Arial"/>
          <w:b/>
          <w:color w:val="000000"/>
          <w:sz w:val="20"/>
          <w:szCs w:val="20"/>
        </w:rPr>
      </w:pPr>
      <w:r>
        <w:rPr>
          <w:rFonts w:ascii="Arial" w:hAnsi="Arial" w:cs="Arial"/>
          <w:b/>
          <w:color w:val="000000"/>
          <w:sz w:val="20"/>
          <w:szCs w:val="20"/>
        </w:rPr>
        <w:t xml:space="preserve">Lice koje je učestvovalo u planiranju javne nabavke </w:t>
      </w:r>
    </w:p>
    <w:p w14:paraId="67FEFE7C">
      <w:pPr>
        <w:tabs>
          <w:tab w:val="left" w:pos="3290"/>
        </w:tabs>
        <w:ind w:firstLine="1134"/>
        <w:jc w:val="center"/>
        <w:rPr>
          <w:rFonts w:ascii="Arial" w:hAnsi="Arial" w:eastAsia="Calibri" w:cs="Arial"/>
          <w:bCs/>
          <w:sz w:val="20"/>
          <w:szCs w:val="20"/>
        </w:rPr>
      </w:pPr>
      <w:r>
        <w:rPr>
          <w:rFonts w:ascii="Arial" w:hAnsi="Arial" w:eastAsia="Calibri" w:cs="Arial"/>
          <w:bCs/>
          <w:sz w:val="20"/>
          <w:szCs w:val="20"/>
          <w:lang w:val="sr-Latn-ME"/>
        </w:rPr>
        <w:t xml:space="preserve">                                                                                                  Slobodan Mandić</w:t>
      </w:r>
    </w:p>
    <w:p w14:paraId="3C75DC4C">
      <w:pPr>
        <w:tabs>
          <w:tab w:val="left" w:pos="3290"/>
        </w:tabs>
        <w:ind w:firstLine="1134"/>
        <w:jc w:val="right"/>
        <w:rPr>
          <w:rFonts w:ascii="Arial" w:hAnsi="Arial" w:eastAsia="Calibri" w:cs="Arial"/>
          <w:bCs/>
          <w:sz w:val="20"/>
          <w:szCs w:val="20"/>
        </w:rPr>
      </w:pPr>
      <w:r>
        <w:rPr>
          <w:rFonts w:ascii="Arial" w:hAnsi="Arial" w:eastAsia="Calibri" w:cs="Arial"/>
          <w:bCs/>
          <w:sz w:val="20"/>
          <w:szCs w:val="20"/>
        </w:rPr>
        <w:t>_______________________</w:t>
      </w:r>
    </w:p>
    <w:p w14:paraId="1091361D">
      <w:pPr>
        <w:tabs>
          <w:tab w:val="left" w:pos="3290"/>
        </w:tabs>
        <w:ind w:firstLine="1134"/>
        <w:jc w:val="center"/>
        <w:rPr>
          <w:rFonts w:ascii="Arial" w:hAnsi="Arial" w:cs="Arial"/>
          <w:bCs/>
          <w:i/>
          <w:iCs/>
          <w:color w:val="000000"/>
          <w:sz w:val="20"/>
          <w:szCs w:val="20"/>
        </w:rPr>
      </w:pPr>
      <w:r>
        <w:rPr>
          <w:rFonts w:ascii="Arial" w:hAnsi="Arial" w:eastAsia="Calibri" w:cs="Arial"/>
          <w:bCs/>
          <w:i/>
          <w:iCs/>
          <w:sz w:val="20"/>
          <w:szCs w:val="20"/>
        </w:rPr>
        <w:t xml:space="preserve">                                                                                                         s.r</w:t>
      </w:r>
    </w:p>
    <w:p w14:paraId="2DD5BC98">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7BB0E6B0">
      <w:pPr>
        <w:tabs>
          <w:tab w:val="left" w:pos="3290"/>
        </w:tabs>
        <w:ind w:firstLine="1134"/>
        <w:jc w:val="center"/>
        <w:rPr>
          <w:rFonts w:ascii="Arial" w:hAnsi="Arial" w:cs="Arial"/>
          <w:bCs/>
          <w:iCs/>
          <w:color w:val="000000"/>
          <w:sz w:val="20"/>
          <w:szCs w:val="20"/>
          <w:lang w:val="sr-Latn-ME"/>
        </w:rPr>
      </w:pPr>
      <w:r>
        <w:rPr>
          <w:rFonts w:ascii="Arial" w:hAnsi="Arial" w:cs="Arial"/>
          <w:iCs/>
          <w:color w:val="000000"/>
          <w:sz w:val="20"/>
          <w:szCs w:val="20"/>
          <w:lang w:val="sr-Latn-ME"/>
        </w:rPr>
        <w:t xml:space="preserve">                                                                                                       Miloš Vučelić</w:t>
      </w:r>
    </w:p>
    <w:p w14:paraId="4C8ED51D">
      <w:pPr>
        <w:tabs>
          <w:tab w:val="left" w:pos="3290"/>
        </w:tabs>
        <w:ind w:firstLine="1134"/>
        <w:jc w:val="right"/>
        <w:rPr>
          <w:rFonts w:ascii="Arial" w:hAnsi="Arial" w:cs="Arial"/>
          <w:bCs/>
          <w:color w:val="000000"/>
          <w:sz w:val="20"/>
          <w:szCs w:val="20"/>
        </w:rPr>
      </w:pPr>
      <w:r>
        <w:rPr>
          <w:rFonts w:ascii="Arial" w:hAnsi="Arial" w:cs="Arial"/>
          <w:bCs/>
          <w:color w:val="000000"/>
          <w:sz w:val="20"/>
          <w:szCs w:val="20"/>
        </w:rPr>
        <w:t>________________________</w:t>
      </w:r>
    </w:p>
    <w:p w14:paraId="1E929806">
      <w:pPr>
        <w:tabs>
          <w:tab w:val="left" w:pos="3290"/>
        </w:tabs>
        <w:ind w:firstLine="1134"/>
        <w:jc w:val="center"/>
        <w:rPr>
          <w:rFonts w:ascii="Arial" w:hAnsi="Arial" w:cs="Arial"/>
          <w:bCs/>
          <w:color w:val="000000"/>
          <w:sz w:val="20"/>
          <w:szCs w:val="20"/>
        </w:rPr>
      </w:pPr>
      <w:r>
        <w:rPr>
          <w:rFonts w:ascii="Arial" w:hAnsi="Arial" w:cs="Arial"/>
          <w:bCs/>
          <w:color w:val="000000"/>
          <w:sz w:val="20"/>
          <w:szCs w:val="20"/>
          <w:lang w:val="sr-Latn-ME"/>
        </w:rPr>
        <w:t xml:space="preserve">                                                                                                      </w:t>
      </w:r>
      <w:r>
        <w:rPr>
          <w:rFonts w:ascii="Arial" w:hAnsi="Arial" w:cs="Arial"/>
          <w:bCs/>
          <w:i/>
          <w:iCs/>
          <w:color w:val="000000"/>
          <w:sz w:val="20"/>
          <w:szCs w:val="20"/>
        </w:rPr>
        <w:t xml:space="preserve">   s.r.</w:t>
      </w:r>
    </w:p>
    <w:p w14:paraId="78DED387">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1765C879">
      <w:pPr>
        <w:tabs>
          <w:tab w:val="left" w:pos="3290"/>
        </w:tabs>
        <w:wordWrap w:val="0"/>
        <w:jc w:val="center"/>
        <w:rPr>
          <w:rFonts w:ascii="Arial" w:hAnsi="Arial" w:cs="Arial"/>
          <w:iCs/>
          <w:color w:val="000000"/>
          <w:sz w:val="20"/>
          <w:szCs w:val="20"/>
          <w:lang w:val="sr-Latn-ME"/>
        </w:rPr>
      </w:pPr>
      <w:r>
        <w:rPr>
          <w:rFonts w:ascii="Arial" w:hAnsi="Arial" w:cs="Arial"/>
          <w:iCs/>
          <w:color w:val="000000"/>
          <w:sz w:val="20"/>
          <w:szCs w:val="20"/>
          <w:lang w:val="sr-Latn-ME"/>
        </w:rPr>
        <w:t xml:space="preserve">                                                                                                                       Aleksandra Popović</w:t>
      </w:r>
    </w:p>
    <w:p w14:paraId="36C8891F">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464148D2">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s.r.</w:t>
      </w:r>
    </w:p>
    <w:p w14:paraId="519382F8">
      <w:pPr>
        <w:tabs>
          <w:tab w:val="left" w:pos="3290"/>
        </w:tabs>
        <w:ind w:firstLine="1134"/>
        <w:jc w:val="right"/>
        <w:rPr>
          <w:rFonts w:ascii="Arial" w:hAnsi="Arial" w:cs="Arial"/>
          <w:b/>
          <w:iCs/>
          <w:color w:val="000000"/>
          <w:sz w:val="20"/>
          <w:szCs w:val="20"/>
        </w:rPr>
      </w:pPr>
      <w:r>
        <w:rPr>
          <w:rFonts w:ascii="Arial" w:hAnsi="Arial" w:cs="Arial"/>
          <w:color w:val="000000"/>
          <w:sz w:val="20"/>
          <w:szCs w:val="20"/>
        </w:rPr>
        <w:t xml:space="preserve">          </w:t>
      </w: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23144667">
      <w:pPr>
        <w:tabs>
          <w:tab w:val="left" w:pos="3290"/>
        </w:tabs>
        <w:ind w:firstLine="1134"/>
        <w:jc w:val="center"/>
        <w:rPr>
          <w:rFonts w:ascii="Arial" w:hAnsi="Arial" w:cs="Arial"/>
          <w:iCs/>
          <w:color w:val="000000"/>
          <w:sz w:val="20"/>
          <w:szCs w:val="20"/>
          <w:lang w:val="sr-Latn-ME"/>
        </w:rPr>
      </w:pPr>
      <w:r>
        <w:rPr>
          <w:rFonts w:ascii="Arial" w:hAnsi="Arial" w:eastAsia="Calibri" w:cs="Arial"/>
          <w:bCs/>
          <w:sz w:val="20"/>
          <w:szCs w:val="20"/>
          <w:lang w:val="sr-Latn-ME"/>
        </w:rPr>
        <w:t xml:space="preserve">                                                                                                 Slobodan Mandić</w:t>
      </w:r>
      <w:r>
        <w:rPr>
          <w:rFonts w:ascii="Arial" w:hAnsi="Arial" w:cs="Arial"/>
          <w:iCs/>
          <w:color w:val="000000"/>
          <w:sz w:val="20"/>
          <w:szCs w:val="20"/>
          <w:lang w:val="sr-Latn-ME"/>
        </w:rPr>
        <w:t xml:space="preserve"> </w:t>
      </w:r>
    </w:p>
    <w:p w14:paraId="5BDD9CE2">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5FD85E2B">
      <w:pPr>
        <w:tabs>
          <w:tab w:val="left" w:pos="3290"/>
        </w:tabs>
        <w:ind w:firstLine="1134"/>
        <w:jc w:val="center"/>
        <w:rPr>
          <w:rFonts w:ascii="Arial" w:hAnsi="Arial" w:cs="Arial"/>
          <w:b/>
          <w:bCs/>
          <w:color w:val="000000"/>
          <w:sz w:val="20"/>
          <w:szCs w:val="20"/>
        </w:rPr>
      </w:pPr>
      <w:r>
        <w:rPr>
          <w:rFonts w:ascii="Arial" w:hAnsi="Arial" w:cs="Arial"/>
          <w:i/>
          <w:iCs/>
          <w:color w:val="000000"/>
          <w:sz w:val="20"/>
          <w:szCs w:val="20"/>
        </w:rPr>
        <w:t xml:space="preserve">                                                                                                     s.r.</w:t>
      </w:r>
    </w:p>
    <w:p w14:paraId="0AA1902F">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73251883">
      <w:pPr>
        <w:tabs>
          <w:tab w:val="left" w:pos="3290"/>
        </w:tabs>
        <w:wordWrap w:val="0"/>
        <w:jc w:val="center"/>
        <w:rPr>
          <w:rFonts w:ascii="Arial" w:hAnsi="Arial" w:cs="Arial"/>
          <w:iCs/>
          <w:color w:val="000000"/>
          <w:sz w:val="20"/>
          <w:szCs w:val="20"/>
          <w:lang w:val="sr-Latn-ME"/>
        </w:rPr>
      </w:pPr>
      <w:r>
        <w:rPr>
          <w:rFonts w:ascii="Arial" w:hAnsi="Arial" w:cs="Arial"/>
          <w:iCs/>
          <w:color w:val="000000"/>
          <w:sz w:val="20"/>
          <w:szCs w:val="20"/>
          <w:lang w:val="sr-Latn-ME"/>
        </w:rPr>
        <w:t xml:space="preserve">                                                                                                                       Bojan Popović </w:t>
      </w:r>
    </w:p>
    <w:p w14:paraId="712A57B1">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0073161E">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s.r.</w:t>
      </w:r>
    </w:p>
    <w:p w14:paraId="5A243744">
      <w:pPr>
        <w:tabs>
          <w:tab w:val="left" w:pos="3290"/>
        </w:tabs>
        <w:ind w:firstLine="1134"/>
        <w:jc w:val="right"/>
        <w:rPr>
          <w:rFonts w:ascii="Arial" w:hAnsi="Arial" w:cs="Arial"/>
          <w:b/>
          <w:iCs/>
          <w:color w:val="000000"/>
          <w:sz w:val="20"/>
          <w:szCs w:val="20"/>
        </w:rPr>
      </w:pPr>
      <w:r>
        <w:rPr>
          <w:rFonts w:ascii="Arial" w:hAnsi="Arial" w:cs="Arial"/>
          <w:color w:val="000000"/>
          <w:sz w:val="20"/>
          <w:szCs w:val="20"/>
        </w:rPr>
        <w:t xml:space="preserve">          </w:t>
      </w: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3A6918A7">
      <w:pPr>
        <w:tabs>
          <w:tab w:val="left" w:pos="3290"/>
        </w:tabs>
        <w:ind w:firstLine="1134"/>
        <w:jc w:val="center"/>
        <w:rPr>
          <w:rFonts w:ascii="Arial" w:hAnsi="Arial" w:cs="Arial"/>
          <w:iCs/>
          <w:color w:val="000000"/>
          <w:sz w:val="20"/>
          <w:szCs w:val="20"/>
          <w:lang w:val="sr-Latn-ME"/>
        </w:rPr>
      </w:pPr>
      <w:r>
        <w:rPr>
          <w:rFonts w:ascii="Arial" w:hAnsi="Arial" w:eastAsia="Calibri" w:cs="Arial"/>
          <w:bCs/>
          <w:sz w:val="20"/>
          <w:szCs w:val="20"/>
          <w:lang w:val="sr-Latn-ME"/>
        </w:rPr>
        <w:t xml:space="preserve">                                                                                                Dijana Milačić</w:t>
      </w:r>
    </w:p>
    <w:p w14:paraId="6CE381A7">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6EF1CC57">
      <w:pPr>
        <w:tabs>
          <w:tab w:val="left" w:pos="3290"/>
        </w:tabs>
        <w:ind w:firstLine="1134"/>
        <w:jc w:val="center"/>
        <w:rPr>
          <w:rFonts w:ascii="Arial" w:hAnsi="Arial" w:cs="Arial"/>
          <w:i/>
          <w:iCs/>
          <w:color w:val="000000"/>
          <w:sz w:val="20"/>
          <w:szCs w:val="20"/>
        </w:rPr>
      </w:pPr>
      <w:r>
        <w:rPr>
          <w:rFonts w:ascii="Arial" w:hAnsi="Arial" w:cs="Arial"/>
          <w:i/>
          <w:iCs/>
          <w:color w:val="000000"/>
          <w:sz w:val="20"/>
          <w:szCs w:val="20"/>
        </w:rPr>
        <w:t xml:space="preserve">                                                                                                       s.r.</w:t>
      </w:r>
    </w:p>
    <w:p w14:paraId="4D391C5E">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2302183E">
      <w:pPr>
        <w:tabs>
          <w:tab w:val="left" w:pos="3290"/>
        </w:tabs>
        <w:wordWrap w:val="0"/>
        <w:jc w:val="center"/>
        <w:rPr>
          <w:rFonts w:ascii="Arial" w:hAnsi="Arial" w:cs="Arial"/>
          <w:iCs/>
          <w:color w:val="000000"/>
          <w:sz w:val="20"/>
          <w:szCs w:val="20"/>
          <w:lang w:val="sr-Latn-ME"/>
        </w:rPr>
      </w:pPr>
      <w:r>
        <w:rPr>
          <w:rFonts w:ascii="Arial" w:hAnsi="Arial" w:cs="Arial"/>
          <w:iCs/>
          <w:color w:val="000000"/>
          <w:sz w:val="20"/>
          <w:szCs w:val="20"/>
          <w:lang w:val="sr-Latn-ME"/>
        </w:rPr>
        <w:t xml:space="preserve">                                                                                                                          Veselin Čvorović </w:t>
      </w:r>
    </w:p>
    <w:p w14:paraId="2268D10D">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2A28A0FD">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s.r.</w:t>
      </w:r>
    </w:p>
    <w:p w14:paraId="73B4C567">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7905E2CC">
      <w:pPr>
        <w:tabs>
          <w:tab w:val="left" w:pos="3290"/>
        </w:tabs>
        <w:wordWrap w:val="0"/>
        <w:jc w:val="center"/>
        <w:rPr>
          <w:rFonts w:ascii="Arial" w:hAnsi="Arial" w:cs="Arial"/>
          <w:iCs/>
          <w:color w:val="000000"/>
          <w:sz w:val="20"/>
          <w:szCs w:val="20"/>
          <w:lang w:val="sr-Latn-ME"/>
        </w:rPr>
      </w:pPr>
      <w:r>
        <w:rPr>
          <w:rFonts w:ascii="Arial" w:hAnsi="Arial" w:cs="Arial"/>
          <w:iCs/>
          <w:color w:val="000000"/>
          <w:sz w:val="20"/>
          <w:szCs w:val="20"/>
          <w:lang w:val="sr-Latn-ME"/>
        </w:rPr>
        <w:t xml:space="preserve">                                                                                                                                       Nikola Razić</w:t>
      </w:r>
    </w:p>
    <w:p w14:paraId="71DA98FA">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6A2BAC2C">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w:t>
      </w:r>
      <w:r>
        <w:rPr>
          <w:rFonts w:hint="default" w:ascii="Arial" w:hAnsi="Arial" w:cs="Arial"/>
          <w:i/>
          <w:iCs/>
          <w:color w:val="000000"/>
          <w:sz w:val="20"/>
          <w:szCs w:val="20"/>
          <w:lang w:val="sr-Latn-ME"/>
        </w:rPr>
        <w:t xml:space="preserve">       </w:t>
      </w:r>
      <w:r>
        <w:rPr>
          <w:rFonts w:ascii="Arial" w:hAnsi="Arial" w:cs="Arial"/>
          <w:i/>
          <w:iCs/>
          <w:color w:val="000000"/>
          <w:sz w:val="20"/>
          <w:szCs w:val="20"/>
        </w:rPr>
        <w:t xml:space="preserve">   s.r.</w:t>
      </w:r>
    </w:p>
    <w:p w14:paraId="3FEFD701">
      <w:pPr>
        <w:tabs>
          <w:tab w:val="left" w:pos="3290"/>
        </w:tabs>
        <w:spacing w:line="276" w:lineRule="auto"/>
        <w:jc w:val="right"/>
        <w:rPr>
          <w:rFonts w:ascii="Arial" w:hAnsi="Arial" w:cs="Arial"/>
          <w:i/>
          <w:iCs/>
          <w:color w:val="000000"/>
          <w:lang w:val="sr-Latn-ME"/>
        </w:rPr>
      </w:pPr>
    </w:p>
    <w:p w14:paraId="4931BE0A">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338740A2">
      <w:pPr>
        <w:tabs>
          <w:tab w:val="left" w:pos="3290"/>
        </w:tabs>
        <w:wordWrap w:val="0"/>
        <w:jc w:val="center"/>
        <w:rPr>
          <w:rFonts w:ascii="Arial" w:hAnsi="Arial" w:cs="Arial"/>
          <w:iCs/>
          <w:color w:val="000000"/>
          <w:sz w:val="20"/>
          <w:szCs w:val="20"/>
          <w:lang w:val="sr-Latn-ME"/>
        </w:rPr>
      </w:pPr>
      <w:r>
        <w:rPr>
          <w:rFonts w:ascii="Arial" w:hAnsi="Arial" w:cs="Arial"/>
          <w:iCs/>
          <w:color w:val="000000"/>
          <w:sz w:val="20"/>
          <w:szCs w:val="20"/>
          <w:lang w:val="sr-Latn-ME"/>
        </w:rPr>
        <w:t xml:space="preserve">                                                                                                                          </w:t>
      </w:r>
      <w:r>
        <w:rPr>
          <w:rFonts w:hint="default" w:ascii="Arial" w:hAnsi="Arial" w:cs="Arial"/>
          <w:iCs/>
          <w:color w:val="000000"/>
          <w:sz w:val="20"/>
          <w:szCs w:val="20"/>
          <w:lang w:val="sr-Latn-ME"/>
        </w:rPr>
        <w:t>Veljo Čađenović</w:t>
      </w:r>
      <w:r>
        <w:rPr>
          <w:rFonts w:ascii="Arial" w:hAnsi="Arial" w:cs="Arial"/>
          <w:iCs/>
          <w:color w:val="000000"/>
          <w:sz w:val="20"/>
          <w:szCs w:val="20"/>
          <w:lang w:val="sr-Latn-ME"/>
        </w:rPr>
        <w:t xml:space="preserve"> </w:t>
      </w:r>
    </w:p>
    <w:p w14:paraId="21739A07">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7A8C8EB9">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w:t>
      </w:r>
      <w:r>
        <w:rPr>
          <w:rFonts w:hint="default" w:ascii="Arial" w:hAnsi="Arial" w:cs="Arial"/>
          <w:i/>
          <w:iCs/>
          <w:color w:val="000000"/>
          <w:sz w:val="20"/>
          <w:szCs w:val="20"/>
          <w:lang w:val="sr-Latn-ME"/>
        </w:rPr>
        <w:t xml:space="preserve">   </w:t>
      </w:r>
      <w:r>
        <w:rPr>
          <w:rFonts w:ascii="Arial" w:hAnsi="Arial" w:cs="Arial"/>
          <w:i/>
          <w:iCs/>
          <w:color w:val="000000"/>
          <w:sz w:val="20"/>
          <w:szCs w:val="20"/>
        </w:rPr>
        <w:t xml:space="preserve"> s.r.</w:t>
      </w:r>
    </w:p>
    <w:p w14:paraId="53D8DDB3">
      <w:pPr>
        <w:tabs>
          <w:tab w:val="left" w:pos="3290"/>
        </w:tabs>
        <w:ind w:firstLine="1134"/>
        <w:jc w:val="right"/>
        <w:rPr>
          <w:rFonts w:ascii="Arial" w:hAnsi="Arial" w:cs="Arial"/>
          <w:b/>
          <w:iCs/>
          <w:color w:val="000000"/>
          <w:sz w:val="20"/>
          <w:szCs w:val="20"/>
        </w:rPr>
      </w:pPr>
      <w:r>
        <w:rPr>
          <w:rFonts w:ascii="Arial" w:hAnsi="Arial" w:cs="Arial"/>
          <w:b/>
          <w:iCs/>
          <w:color w:val="000000"/>
          <w:sz w:val="20"/>
          <w:szCs w:val="20"/>
        </w:rPr>
        <w:t xml:space="preserve">Član komisije </w:t>
      </w:r>
      <w:r>
        <w:rPr>
          <w:rFonts w:ascii="Arial" w:hAnsi="Arial" w:cs="Arial"/>
          <w:b/>
          <w:sz w:val="20"/>
          <w:szCs w:val="20"/>
        </w:rPr>
        <w:t>za sprovođenje postupka javne nabavk</w:t>
      </w:r>
      <w:r>
        <w:rPr>
          <w:rFonts w:ascii="Arial" w:hAnsi="Arial" w:cs="Arial"/>
          <w:b/>
          <w:iCs/>
          <w:color w:val="000000"/>
          <w:sz w:val="20"/>
          <w:szCs w:val="20"/>
        </w:rPr>
        <w:t>e</w:t>
      </w:r>
    </w:p>
    <w:p w14:paraId="45F5D1B9">
      <w:pPr>
        <w:tabs>
          <w:tab w:val="left" w:pos="3290"/>
        </w:tabs>
        <w:wordWrap w:val="0"/>
        <w:jc w:val="center"/>
        <w:rPr>
          <w:rFonts w:hint="default" w:ascii="Arial" w:hAnsi="Arial" w:cs="Arial"/>
          <w:iCs/>
          <w:color w:val="000000"/>
          <w:sz w:val="20"/>
          <w:szCs w:val="20"/>
          <w:lang w:val="sr-Latn-ME"/>
        </w:rPr>
      </w:pPr>
      <w:r>
        <w:rPr>
          <w:rFonts w:ascii="Arial" w:hAnsi="Arial" w:cs="Arial"/>
          <w:iCs/>
          <w:color w:val="000000"/>
          <w:sz w:val="20"/>
          <w:szCs w:val="20"/>
          <w:lang w:val="sr-Latn-ME"/>
        </w:rPr>
        <w:t xml:space="preserve">                                                                                                                                     </w:t>
      </w:r>
      <w:r>
        <w:rPr>
          <w:rFonts w:hint="default" w:ascii="Arial" w:hAnsi="Arial" w:cs="Arial"/>
          <w:iCs/>
          <w:color w:val="000000"/>
          <w:sz w:val="20"/>
          <w:szCs w:val="20"/>
          <w:lang w:val="sr-Latn-ME"/>
        </w:rPr>
        <w:t>Milanko Dmjanović</w:t>
      </w:r>
    </w:p>
    <w:p w14:paraId="072EA4DD">
      <w:pPr>
        <w:tabs>
          <w:tab w:val="left" w:pos="3290"/>
        </w:tabs>
        <w:ind w:firstLine="1134"/>
        <w:jc w:val="right"/>
        <w:rPr>
          <w:rFonts w:ascii="Arial" w:hAnsi="Arial" w:cs="Arial"/>
          <w:color w:val="000000"/>
          <w:sz w:val="20"/>
          <w:szCs w:val="20"/>
        </w:rPr>
      </w:pPr>
      <w:r>
        <w:rPr>
          <w:rFonts w:ascii="Arial" w:hAnsi="Arial" w:cs="Arial"/>
          <w:color w:val="000000"/>
          <w:sz w:val="20"/>
          <w:szCs w:val="20"/>
        </w:rPr>
        <w:t>________________________</w:t>
      </w:r>
    </w:p>
    <w:p w14:paraId="027A57A2">
      <w:pPr>
        <w:tabs>
          <w:tab w:val="left" w:pos="3290"/>
        </w:tabs>
        <w:ind w:firstLine="1134"/>
        <w:jc w:val="center"/>
        <w:rPr>
          <w:rFonts w:ascii="Arial" w:hAnsi="Arial" w:cs="Arial"/>
          <w:color w:val="000000"/>
          <w:sz w:val="20"/>
          <w:szCs w:val="20"/>
        </w:rPr>
      </w:pPr>
      <w:r>
        <w:rPr>
          <w:rFonts w:ascii="Arial" w:hAnsi="Arial" w:cs="Arial"/>
          <w:i/>
          <w:iCs/>
          <w:color w:val="000000"/>
          <w:sz w:val="20"/>
          <w:szCs w:val="20"/>
        </w:rPr>
        <w:t xml:space="preserve">                                                                                              </w:t>
      </w:r>
      <w:r>
        <w:rPr>
          <w:rFonts w:hint="default" w:ascii="Arial" w:hAnsi="Arial" w:cs="Arial"/>
          <w:i/>
          <w:iCs/>
          <w:color w:val="000000"/>
          <w:sz w:val="20"/>
          <w:szCs w:val="20"/>
          <w:lang w:val="sr-Latn-ME"/>
        </w:rPr>
        <w:t xml:space="preserve">            </w:t>
      </w:r>
      <w:r>
        <w:rPr>
          <w:rFonts w:ascii="Arial" w:hAnsi="Arial" w:cs="Arial"/>
          <w:i/>
          <w:iCs/>
          <w:color w:val="000000"/>
          <w:sz w:val="20"/>
          <w:szCs w:val="20"/>
        </w:rPr>
        <w:t xml:space="preserve">  s.r.</w:t>
      </w:r>
    </w:p>
    <w:p w14:paraId="400B2BB3">
      <w:pPr>
        <w:tabs>
          <w:tab w:val="left" w:pos="3290"/>
        </w:tabs>
        <w:spacing w:line="276" w:lineRule="auto"/>
        <w:jc w:val="both"/>
        <w:rPr>
          <w:rFonts w:ascii="Arial" w:hAnsi="Arial" w:cs="Arial"/>
          <w:i/>
          <w:iCs/>
          <w:color w:val="000000"/>
          <w:lang w:val="sr-Latn-ME"/>
        </w:rPr>
      </w:pPr>
    </w:p>
    <w:p w14:paraId="45ECA251">
      <w:pPr>
        <w:tabs>
          <w:tab w:val="left" w:pos="3290"/>
        </w:tabs>
        <w:spacing w:line="276" w:lineRule="auto"/>
        <w:jc w:val="both"/>
        <w:rPr>
          <w:rFonts w:ascii="Arial" w:hAnsi="Arial" w:cs="Arial"/>
          <w:i/>
          <w:iCs/>
          <w:color w:val="000000"/>
          <w:lang w:val="sr-Latn-ME"/>
        </w:rPr>
      </w:pPr>
    </w:p>
    <w:p w14:paraId="5131712E">
      <w:pPr>
        <w:tabs>
          <w:tab w:val="left" w:pos="3290"/>
        </w:tabs>
        <w:spacing w:line="276" w:lineRule="auto"/>
        <w:jc w:val="both"/>
        <w:rPr>
          <w:rFonts w:ascii="Arial" w:hAnsi="Arial" w:cs="Arial"/>
          <w:i/>
          <w:iCs/>
          <w:color w:val="000000"/>
          <w:lang w:val="sr-Latn-ME"/>
        </w:rPr>
      </w:pPr>
    </w:p>
    <w:p w14:paraId="3B083191">
      <w:pPr>
        <w:tabs>
          <w:tab w:val="left" w:pos="3290"/>
        </w:tabs>
        <w:spacing w:line="276" w:lineRule="auto"/>
        <w:jc w:val="both"/>
        <w:rPr>
          <w:rFonts w:ascii="Arial" w:hAnsi="Arial" w:cs="Arial"/>
          <w:i/>
          <w:iCs/>
          <w:color w:val="000000"/>
          <w:lang w:val="sr-Latn-ME"/>
        </w:rPr>
      </w:pPr>
    </w:p>
    <w:p w14:paraId="3D94109A">
      <w:pPr>
        <w:tabs>
          <w:tab w:val="left" w:pos="3290"/>
        </w:tabs>
        <w:spacing w:line="276" w:lineRule="auto"/>
        <w:jc w:val="both"/>
        <w:rPr>
          <w:rFonts w:ascii="Arial" w:hAnsi="Arial" w:cs="Arial"/>
          <w:i/>
          <w:iCs/>
          <w:color w:val="000000"/>
          <w:lang w:val="sr-Latn-ME"/>
        </w:rPr>
      </w:pPr>
    </w:p>
    <w:p w14:paraId="6226A737">
      <w:pPr>
        <w:tabs>
          <w:tab w:val="left" w:pos="3290"/>
        </w:tabs>
        <w:spacing w:line="276" w:lineRule="auto"/>
        <w:jc w:val="both"/>
        <w:rPr>
          <w:rFonts w:ascii="Arial" w:hAnsi="Arial" w:cs="Arial"/>
          <w:i/>
          <w:iCs/>
          <w:color w:val="000000"/>
          <w:lang w:val="sr-Latn-ME"/>
        </w:rPr>
      </w:pPr>
    </w:p>
    <w:p w14:paraId="7EBC3A16">
      <w:pPr>
        <w:tabs>
          <w:tab w:val="left" w:pos="3290"/>
        </w:tabs>
        <w:spacing w:line="276" w:lineRule="auto"/>
        <w:jc w:val="both"/>
        <w:rPr>
          <w:rFonts w:ascii="Arial" w:hAnsi="Arial" w:cs="Arial"/>
          <w:i/>
          <w:iCs/>
          <w:color w:val="000000"/>
          <w:lang w:val="sr-Latn-ME"/>
        </w:rPr>
      </w:pPr>
    </w:p>
    <w:p w14:paraId="1FA067FF">
      <w:pPr>
        <w:tabs>
          <w:tab w:val="left" w:pos="3290"/>
        </w:tabs>
        <w:spacing w:line="276" w:lineRule="auto"/>
        <w:jc w:val="both"/>
        <w:rPr>
          <w:rFonts w:ascii="Arial" w:hAnsi="Arial" w:cs="Arial"/>
          <w:i/>
          <w:iCs/>
          <w:color w:val="000000"/>
          <w:lang w:val="sr-Latn-ME"/>
        </w:rPr>
      </w:pPr>
    </w:p>
    <w:p w14:paraId="7386FCF7">
      <w:pPr>
        <w:tabs>
          <w:tab w:val="left" w:pos="3290"/>
        </w:tabs>
        <w:spacing w:line="276" w:lineRule="auto"/>
        <w:jc w:val="both"/>
        <w:rPr>
          <w:rFonts w:ascii="Arial" w:hAnsi="Arial" w:cs="Arial"/>
          <w:i/>
          <w:iCs/>
          <w:color w:val="000000"/>
          <w:lang w:val="sr-Latn-ME"/>
        </w:rPr>
      </w:pPr>
    </w:p>
    <w:p w14:paraId="6A71FED4">
      <w:pPr>
        <w:tabs>
          <w:tab w:val="left" w:pos="3290"/>
        </w:tabs>
        <w:spacing w:line="276" w:lineRule="auto"/>
        <w:jc w:val="both"/>
        <w:rPr>
          <w:rFonts w:ascii="Arial" w:hAnsi="Arial" w:cs="Arial"/>
          <w:i/>
          <w:iCs/>
          <w:color w:val="000000"/>
          <w:lang w:val="sr-Latn-ME"/>
        </w:rPr>
      </w:pPr>
    </w:p>
    <w:p w14:paraId="7B4514E8">
      <w:pPr>
        <w:tabs>
          <w:tab w:val="left" w:pos="3290"/>
        </w:tabs>
        <w:spacing w:line="276" w:lineRule="auto"/>
        <w:jc w:val="both"/>
        <w:rPr>
          <w:rFonts w:ascii="Arial" w:hAnsi="Arial" w:cs="Arial"/>
          <w:i/>
          <w:iCs/>
          <w:color w:val="000000"/>
          <w:lang w:val="sr-Latn-ME"/>
        </w:rPr>
      </w:pPr>
    </w:p>
    <w:p w14:paraId="214A546A">
      <w:pPr>
        <w:tabs>
          <w:tab w:val="left" w:pos="3290"/>
        </w:tabs>
        <w:spacing w:line="276" w:lineRule="auto"/>
        <w:jc w:val="both"/>
        <w:rPr>
          <w:rFonts w:ascii="Arial" w:hAnsi="Arial" w:cs="Arial"/>
          <w:i/>
          <w:iCs/>
          <w:color w:val="000000"/>
          <w:lang w:val="sr-Latn-ME"/>
        </w:rPr>
      </w:pPr>
    </w:p>
    <w:p w14:paraId="64EF5CB8">
      <w:pPr>
        <w:tabs>
          <w:tab w:val="left" w:pos="3290"/>
        </w:tabs>
        <w:spacing w:line="276" w:lineRule="auto"/>
        <w:jc w:val="both"/>
        <w:rPr>
          <w:rFonts w:ascii="Arial" w:hAnsi="Arial" w:cs="Arial"/>
          <w:i/>
          <w:iCs/>
          <w:color w:val="000000"/>
          <w:lang w:val="sr-Latn-ME"/>
        </w:rPr>
      </w:pPr>
    </w:p>
    <w:p w14:paraId="279AEF71">
      <w:pPr>
        <w:tabs>
          <w:tab w:val="left" w:pos="3290"/>
        </w:tabs>
        <w:spacing w:line="276" w:lineRule="auto"/>
        <w:jc w:val="both"/>
        <w:rPr>
          <w:rFonts w:ascii="Arial" w:hAnsi="Arial" w:cs="Arial"/>
          <w:i/>
          <w:iCs/>
          <w:color w:val="000000"/>
          <w:lang w:val="sr-Latn-ME"/>
        </w:rPr>
      </w:pPr>
    </w:p>
    <w:p w14:paraId="28456CE8">
      <w:pPr>
        <w:tabs>
          <w:tab w:val="left" w:pos="3290"/>
        </w:tabs>
        <w:spacing w:line="276" w:lineRule="auto"/>
        <w:jc w:val="both"/>
        <w:rPr>
          <w:rFonts w:ascii="Arial" w:hAnsi="Arial" w:cs="Arial"/>
          <w:i/>
          <w:iCs/>
          <w:color w:val="000000"/>
          <w:lang w:val="sr-Latn-ME"/>
        </w:rPr>
      </w:pPr>
    </w:p>
    <w:p w14:paraId="355F5796">
      <w:pPr>
        <w:tabs>
          <w:tab w:val="left" w:pos="3290"/>
        </w:tabs>
        <w:spacing w:line="276" w:lineRule="auto"/>
        <w:jc w:val="both"/>
        <w:rPr>
          <w:rFonts w:ascii="Arial" w:hAnsi="Arial" w:cs="Arial"/>
          <w:i/>
          <w:iCs/>
          <w:color w:val="000000"/>
          <w:lang w:val="sr-Latn-ME"/>
        </w:rPr>
      </w:pPr>
    </w:p>
    <w:p w14:paraId="289A9E11">
      <w:pPr>
        <w:tabs>
          <w:tab w:val="left" w:pos="3290"/>
        </w:tabs>
        <w:spacing w:line="276" w:lineRule="auto"/>
        <w:jc w:val="both"/>
        <w:rPr>
          <w:rFonts w:ascii="Arial" w:hAnsi="Arial" w:cs="Arial"/>
          <w:i/>
          <w:iCs/>
          <w:color w:val="000000"/>
          <w:lang w:val="sr-Latn-ME"/>
        </w:rPr>
      </w:pPr>
    </w:p>
    <w:p w14:paraId="51CADB5A">
      <w:pPr>
        <w:tabs>
          <w:tab w:val="left" w:pos="3290"/>
        </w:tabs>
        <w:spacing w:line="276" w:lineRule="auto"/>
        <w:jc w:val="both"/>
        <w:rPr>
          <w:rFonts w:ascii="Arial" w:hAnsi="Arial" w:cs="Arial"/>
          <w:i/>
          <w:iCs/>
          <w:color w:val="000000"/>
          <w:lang w:val="sr-Latn-ME"/>
        </w:rPr>
      </w:pPr>
    </w:p>
    <w:p w14:paraId="4F2918AA">
      <w:pPr>
        <w:tabs>
          <w:tab w:val="left" w:pos="3290"/>
        </w:tabs>
        <w:spacing w:line="276" w:lineRule="auto"/>
        <w:jc w:val="both"/>
        <w:rPr>
          <w:rFonts w:ascii="Arial" w:hAnsi="Arial" w:cs="Arial"/>
          <w:i/>
          <w:iCs/>
          <w:color w:val="000000"/>
          <w:lang w:val="sr-Latn-ME"/>
        </w:rPr>
      </w:pPr>
    </w:p>
    <w:p w14:paraId="1DB13CC8">
      <w:pPr>
        <w:tabs>
          <w:tab w:val="left" w:pos="3290"/>
        </w:tabs>
        <w:spacing w:line="276" w:lineRule="auto"/>
        <w:jc w:val="both"/>
        <w:rPr>
          <w:rFonts w:ascii="Arial" w:hAnsi="Arial" w:cs="Arial"/>
          <w:i/>
          <w:iCs/>
          <w:color w:val="000000"/>
          <w:lang w:val="sr-Latn-ME"/>
        </w:rPr>
      </w:pPr>
    </w:p>
    <w:p w14:paraId="7E7BA894">
      <w:pPr>
        <w:tabs>
          <w:tab w:val="left" w:pos="3290"/>
        </w:tabs>
        <w:spacing w:line="276" w:lineRule="auto"/>
        <w:jc w:val="both"/>
        <w:rPr>
          <w:rFonts w:ascii="Arial" w:hAnsi="Arial" w:cs="Arial"/>
          <w:i/>
          <w:iCs/>
          <w:color w:val="000000"/>
          <w:lang w:val="sr-Latn-ME"/>
        </w:rPr>
      </w:pPr>
    </w:p>
    <w:p w14:paraId="1CC10C63">
      <w:pPr>
        <w:tabs>
          <w:tab w:val="left" w:pos="3290"/>
        </w:tabs>
        <w:spacing w:line="276" w:lineRule="auto"/>
        <w:jc w:val="both"/>
        <w:rPr>
          <w:rFonts w:ascii="Arial" w:hAnsi="Arial" w:cs="Arial"/>
          <w:i/>
          <w:iCs/>
          <w:color w:val="000000"/>
          <w:lang w:val="sr-Latn-ME"/>
        </w:rPr>
      </w:pPr>
    </w:p>
    <w:p w14:paraId="5E76E212">
      <w:pPr>
        <w:tabs>
          <w:tab w:val="left" w:pos="3290"/>
        </w:tabs>
        <w:spacing w:line="276" w:lineRule="auto"/>
        <w:jc w:val="both"/>
        <w:rPr>
          <w:rFonts w:ascii="Arial" w:hAnsi="Arial" w:cs="Arial"/>
          <w:i/>
          <w:iCs/>
          <w:color w:val="000000"/>
          <w:lang w:val="sr-Latn-ME"/>
        </w:rPr>
      </w:pPr>
    </w:p>
    <w:p w14:paraId="3ABCC095">
      <w:pPr>
        <w:tabs>
          <w:tab w:val="left" w:pos="3290"/>
        </w:tabs>
        <w:spacing w:line="276" w:lineRule="auto"/>
        <w:jc w:val="both"/>
        <w:rPr>
          <w:rFonts w:ascii="Arial" w:hAnsi="Arial" w:cs="Arial"/>
          <w:i/>
          <w:iCs/>
          <w:color w:val="000000"/>
          <w:lang w:val="sr-Latn-ME"/>
        </w:rPr>
      </w:pPr>
    </w:p>
    <w:p w14:paraId="08181DDC">
      <w:pPr>
        <w:tabs>
          <w:tab w:val="left" w:pos="3290"/>
        </w:tabs>
        <w:spacing w:line="276" w:lineRule="auto"/>
        <w:jc w:val="both"/>
        <w:rPr>
          <w:rFonts w:ascii="Arial" w:hAnsi="Arial" w:cs="Arial"/>
          <w:i/>
          <w:iCs/>
          <w:color w:val="000000"/>
          <w:lang w:val="sr-Latn-ME"/>
        </w:rPr>
      </w:pPr>
    </w:p>
    <w:p w14:paraId="3516C180">
      <w:pPr>
        <w:tabs>
          <w:tab w:val="left" w:pos="3290"/>
        </w:tabs>
        <w:spacing w:line="276" w:lineRule="auto"/>
        <w:jc w:val="both"/>
        <w:rPr>
          <w:rFonts w:ascii="Arial" w:hAnsi="Arial" w:cs="Arial"/>
          <w:i/>
          <w:iCs/>
          <w:color w:val="000000"/>
          <w:lang w:val="sr-Latn-ME"/>
        </w:rPr>
      </w:pPr>
    </w:p>
    <w:p w14:paraId="1E8FFB82">
      <w:pPr>
        <w:tabs>
          <w:tab w:val="left" w:pos="3290"/>
        </w:tabs>
        <w:spacing w:line="276" w:lineRule="auto"/>
        <w:jc w:val="both"/>
        <w:rPr>
          <w:rFonts w:ascii="Arial" w:hAnsi="Arial" w:cs="Arial"/>
          <w:i/>
          <w:iCs/>
          <w:color w:val="000000"/>
          <w:lang w:val="sr-Latn-ME"/>
        </w:rPr>
      </w:pPr>
    </w:p>
    <w:p w14:paraId="56A67C70">
      <w:pPr>
        <w:tabs>
          <w:tab w:val="left" w:pos="3290"/>
        </w:tabs>
        <w:spacing w:line="276" w:lineRule="auto"/>
        <w:jc w:val="both"/>
        <w:rPr>
          <w:rFonts w:ascii="Arial" w:hAnsi="Arial" w:cs="Arial"/>
          <w:i/>
          <w:iCs/>
          <w:color w:val="000000"/>
          <w:lang w:val="sr-Latn-ME"/>
        </w:rPr>
      </w:pPr>
    </w:p>
    <w:p w14:paraId="3EDC318E">
      <w:pPr>
        <w:tabs>
          <w:tab w:val="left" w:pos="3290"/>
        </w:tabs>
        <w:spacing w:line="276" w:lineRule="auto"/>
        <w:jc w:val="both"/>
        <w:rPr>
          <w:rFonts w:ascii="Arial" w:hAnsi="Arial" w:cs="Arial"/>
          <w:i/>
          <w:iCs/>
          <w:color w:val="000000"/>
          <w:lang w:val="sr-Latn-ME"/>
        </w:rPr>
      </w:pPr>
    </w:p>
    <w:p w14:paraId="02FE1B8B">
      <w:pPr>
        <w:tabs>
          <w:tab w:val="left" w:pos="3290"/>
        </w:tabs>
        <w:spacing w:line="276" w:lineRule="auto"/>
        <w:jc w:val="both"/>
        <w:rPr>
          <w:rFonts w:ascii="Arial" w:hAnsi="Arial" w:cs="Arial"/>
          <w:i/>
          <w:iCs/>
          <w:color w:val="000000"/>
          <w:lang w:val="sr-Latn-ME"/>
        </w:rPr>
      </w:pPr>
    </w:p>
    <w:p w14:paraId="0F58207F">
      <w:pPr>
        <w:tabs>
          <w:tab w:val="left" w:pos="3290"/>
        </w:tabs>
        <w:spacing w:line="276" w:lineRule="auto"/>
        <w:jc w:val="both"/>
        <w:rPr>
          <w:rFonts w:ascii="Arial" w:hAnsi="Arial" w:cs="Arial"/>
          <w:i/>
          <w:iCs/>
          <w:color w:val="000000"/>
          <w:lang w:val="sr-Latn-ME"/>
        </w:rPr>
      </w:pPr>
    </w:p>
    <w:p w14:paraId="76C97434">
      <w:pPr>
        <w:tabs>
          <w:tab w:val="left" w:pos="3290"/>
        </w:tabs>
        <w:spacing w:line="276" w:lineRule="auto"/>
        <w:jc w:val="both"/>
        <w:rPr>
          <w:rFonts w:ascii="Arial" w:hAnsi="Arial" w:cs="Arial"/>
          <w:i/>
          <w:iCs/>
          <w:color w:val="000000"/>
          <w:lang w:val="sr-Latn-ME"/>
        </w:rPr>
      </w:pPr>
    </w:p>
    <w:p w14:paraId="02F6934F">
      <w:pPr>
        <w:tabs>
          <w:tab w:val="left" w:pos="3290"/>
        </w:tabs>
        <w:spacing w:line="276" w:lineRule="auto"/>
        <w:jc w:val="both"/>
        <w:rPr>
          <w:rFonts w:ascii="Arial" w:hAnsi="Arial" w:cs="Arial"/>
          <w:i/>
          <w:iCs/>
          <w:color w:val="000000"/>
          <w:lang w:val="sr-Latn-ME"/>
        </w:rPr>
      </w:pPr>
    </w:p>
    <w:p w14:paraId="5563B90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line="276" w:lineRule="auto"/>
        <w:ind w:left="1080" w:leftChars="0" w:firstLineChars="0"/>
        <w:outlineLvl w:val="0"/>
        <w:rPr>
          <w:rFonts w:ascii="Arial" w:hAnsi="Arial"/>
          <w:b/>
          <w:iCs/>
          <w:sz w:val="24"/>
          <w:szCs w:val="24"/>
          <w:lang w:val="sr-Latn-ME"/>
        </w:rPr>
      </w:pPr>
      <w:bookmarkStart w:id="23" w:name="_Toc62730568"/>
      <w:r>
        <w:rPr>
          <w:rFonts w:ascii="Arial" w:hAnsi="Arial"/>
          <w:b/>
          <w:sz w:val="24"/>
          <w:szCs w:val="24"/>
          <w:lang w:val="sr-Latn-ME"/>
        </w:rPr>
        <w:t>UPUTSTVO O PRAVNOM SREDSTVU</w:t>
      </w:r>
      <w:bookmarkEnd w:id="23"/>
    </w:p>
    <w:p w14:paraId="6DBD4336">
      <w:pPr>
        <w:tabs>
          <w:tab w:val="left" w:pos="5760"/>
        </w:tabs>
        <w:spacing w:line="276" w:lineRule="auto"/>
        <w:jc w:val="center"/>
        <w:rPr>
          <w:rFonts w:ascii="Arial" w:hAnsi="Arial" w:cs="Arial"/>
          <w:color w:val="000000"/>
          <w:sz w:val="24"/>
          <w:szCs w:val="24"/>
          <w:lang w:val="sr-Latn-ME"/>
        </w:rPr>
      </w:pPr>
    </w:p>
    <w:p w14:paraId="10C86562">
      <w:pPr>
        <w:tabs>
          <w:tab w:val="left" w:pos="5760"/>
        </w:tabs>
        <w:spacing w:line="276" w:lineRule="auto"/>
        <w:ind w:firstLine="567"/>
        <w:jc w:val="both"/>
        <w:rPr>
          <w:rFonts w:ascii="Arial" w:hAnsi="Arial" w:cs="Arial"/>
          <w:color w:val="000000"/>
          <w:sz w:val="24"/>
          <w:szCs w:val="24"/>
          <w:lang w:val="sr-Latn-ME"/>
        </w:rPr>
      </w:pPr>
      <w:r>
        <w:rPr>
          <w:rFonts w:ascii="Arial" w:hAnsi="Arial" w:cs="Arial"/>
          <w:color w:val="000000"/>
          <w:sz w:val="24"/>
          <w:szCs w:val="24"/>
          <w:lang w:val="sr-Latn-ME"/>
        </w:rPr>
        <w:t>Privredni subjekat može da izjavi žalbu protiv ove tenderske dokumentacije Komisiji za zaštitu prava:</w:t>
      </w:r>
    </w:p>
    <w:p w14:paraId="72E61054">
      <w:pPr>
        <w:pStyle w:val="11"/>
        <w:spacing w:line="276" w:lineRule="auto"/>
        <w:ind w:left="567" w:hanging="283"/>
        <w:rPr>
          <w:rFonts w:ascii="Arial" w:hAnsi="Arial" w:cs="Arial"/>
          <w:sz w:val="24"/>
          <w:szCs w:val="24"/>
          <w:lang w:val="sr-Latn-ME"/>
        </w:rPr>
      </w:pPr>
      <w:r>
        <w:rPr>
          <w:rFonts w:ascii="Arial" w:hAnsi="Arial" w:cs="Arial"/>
          <w:sz w:val="24"/>
          <w:szCs w:val="24"/>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7F0D5B66">
      <w:pPr>
        <w:pStyle w:val="11"/>
        <w:spacing w:line="276" w:lineRule="auto"/>
        <w:ind w:left="567" w:hanging="283"/>
        <w:rPr>
          <w:rFonts w:ascii="Arial" w:hAnsi="Arial" w:cs="Arial"/>
          <w:sz w:val="24"/>
          <w:szCs w:val="24"/>
          <w:lang w:val="sr-Latn-ME"/>
        </w:rPr>
      </w:pPr>
      <w:r>
        <w:rPr>
          <w:rFonts w:ascii="Arial" w:hAnsi="Arial" w:cs="Arial"/>
          <w:sz w:val="24"/>
          <w:szCs w:val="24"/>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3E78660B">
      <w:pPr>
        <w:pStyle w:val="11"/>
        <w:spacing w:line="276" w:lineRule="auto"/>
        <w:ind w:left="567" w:hanging="283"/>
        <w:rPr>
          <w:rFonts w:ascii="Arial" w:hAnsi="Arial" w:cs="Arial"/>
          <w:sz w:val="24"/>
          <w:szCs w:val="24"/>
          <w:lang w:val="sr-Latn-ME"/>
        </w:rPr>
      </w:pPr>
      <w:r>
        <w:rPr>
          <w:rFonts w:ascii="Arial" w:hAnsi="Arial" w:cs="Arial"/>
          <w:sz w:val="24"/>
          <w:szCs w:val="24"/>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2BEF95EE">
      <w:pPr>
        <w:tabs>
          <w:tab w:val="left" w:pos="5760"/>
        </w:tabs>
        <w:spacing w:line="276" w:lineRule="auto"/>
        <w:jc w:val="both"/>
        <w:rPr>
          <w:rFonts w:ascii="Arial" w:hAnsi="Arial" w:cs="Arial"/>
          <w:color w:val="000000"/>
          <w:sz w:val="24"/>
          <w:szCs w:val="24"/>
          <w:lang w:val="sr-Latn-ME"/>
        </w:rPr>
      </w:pPr>
    </w:p>
    <w:p w14:paraId="21578E73">
      <w:pPr>
        <w:autoSpaceDE w:val="0"/>
        <w:autoSpaceDN w:val="0"/>
        <w:adjustRightInd w:val="0"/>
        <w:spacing w:line="276" w:lineRule="auto"/>
        <w:ind w:firstLine="567"/>
        <w:jc w:val="both"/>
        <w:rPr>
          <w:rFonts w:ascii="Arial" w:hAnsi="Arial" w:cs="Arial"/>
          <w:color w:val="000000"/>
          <w:sz w:val="24"/>
          <w:szCs w:val="24"/>
          <w:lang w:val="sr-Latn-ME"/>
        </w:rPr>
      </w:pPr>
      <w:r>
        <w:rPr>
          <w:rFonts w:ascii="Arial" w:hAnsi="Arial" w:cs="Arial"/>
          <w:color w:val="000000"/>
          <w:sz w:val="24"/>
          <w:szCs w:val="24"/>
          <w:lang w:val="sr-Latn-ME"/>
        </w:rPr>
        <w:t>Žalba se izjavljuje preko naručioca neposredno putem ESJN-a. Žalba koja nije podnesena na naprijed predviđeni način biće odbijena kao nedozvoljena.</w:t>
      </w:r>
    </w:p>
    <w:p w14:paraId="37009417">
      <w:pPr>
        <w:autoSpaceDE w:val="0"/>
        <w:autoSpaceDN w:val="0"/>
        <w:adjustRightInd w:val="0"/>
        <w:spacing w:line="276" w:lineRule="auto"/>
        <w:ind w:firstLine="567"/>
        <w:jc w:val="both"/>
        <w:rPr>
          <w:rFonts w:ascii="Arial" w:hAnsi="Arial" w:cs="Arial"/>
          <w:color w:val="000000"/>
          <w:sz w:val="24"/>
          <w:szCs w:val="24"/>
          <w:lang w:val="sr-Latn-ME"/>
        </w:rPr>
      </w:pPr>
    </w:p>
    <w:p w14:paraId="2C3E06AE">
      <w:pPr>
        <w:autoSpaceDE w:val="0"/>
        <w:autoSpaceDN w:val="0"/>
        <w:adjustRightInd w:val="0"/>
        <w:spacing w:line="276" w:lineRule="auto"/>
        <w:ind w:firstLine="567"/>
        <w:jc w:val="both"/>
        <w:rPr>
          <w:rFonts w:ascii="Arial" w:hAnsi="Arial" w:cs="Arial"/>
          <w:color w:val="000000"/>
          <w:sz w:val="24"/>
          <w:szCs w:val="24"/>
          <w:highlight w:val="yellow"/>
          <w:lang w:val="sr-Latn-ME"/>
        </w:rPr>
      </w:pPr>
      <w:r>
        <w:rPr>
          <w:rFonts w:ascii="Arial"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62931042">
      <w:pPr>
        <w:tabs>
          <w:tab w:val="left" w:pos="5760"/>
        </w:tabs>
        <w:spacing w:line="276" w:lineRule="auto"/>
        <w:ind w:firstLine="567"/>
        <w:jc w:val="both"/>
        <w:rPr>
          <w:rFonts w:ascii="Arial" w:hAnsi="Arial" w:cs="Arial"/>
          <w:color w:val="000000"/>
          <w:sz w:val="24"/>
          <w:szCs w:val="24"/>
          <w:lang w:val="sr-Latn-ME"/>
        </w:rPr>
      </w:pPr>
    </w:p>
    <w:p w14:paraId="3EE3A605">
      <w:pPr>
        <w:tabs>
          <w:tab w:val="left" w:pos="5760"/>
        </w:tabs>
        <w:spacing w:line="276" w:lineRule="auto"/>
        <w:ind w:firstLine="567"/>
        <w:jc w:val="both"/>
        <w:rPr>
          <w:rFonts w:ascii="Arial" w:hAnsi="Arial" w:cs="Arial"/>
          <w:color w:val="000000"/>
          <w:sz w:val="24"/>
          <w:szCs w:val="24"/>
          <w:lang w:val="sr-Latn-ME"/>
        </w:rPr>
      </w:pPr>
      <w:r>
        <w:rPr>
          <w:rFonts w:ascii="Arial"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3E64D2D3">
      <w:pPr>
        <w:tabs>
          <w:tab w:val="left" w:pos="5760"/>
        </w:tabs>
        <w:spacing w:line="276" w:lineRule="auto"/>
        <w:ind w:firstLine="567"/>
        <w:jc w:val="both"/>
        <w:rPr>
          <w:rFonts w:ascii="Arial" w:hAnsi="Arial" w:cs="Arial"/>
          <w:color w:val="000000"/>
          <w:sz w:val="24"/>
          <w:szCs w:val="24"/>
          <w:lang w:val="sr-Latn-ME"/>
        </w:rPr>
      </w:pPr>
    </w:p>
    <w:p w14:paraId="3CF8CDA8">
      <w:pPr>
        <w:tabs>
          <w:tab w:val="left" w:pos="5760"/>
        </w:tabs>
        <w:spacing w:line="276" w:lineRule="auto"/>
        <w:ind w:firstLine="567"/>
        <w:jc w:val="both"/>
        <w:rPr>
          <w:rFonts w:ascii="Arial" w:hAnsi="Arial" w:cs="Arial"/>
          <w:color w:val="000000"/>
          <w:sz w:val="24"/>
          <w:szCs w:val="24"/>
          <w:lang w:val="sr-Latn-ME"/>
        </w:rPr>
      </w:pPr>
      <w:r>
        <w:rPr>
          <w:rFonts w:ascii="Arial" w:hAnsi="Arial" w:cs="Arial"/>
          <w:color w:val="000000"/>
          <w:sz w:val="24"/>
          <w:szCs w:val="24"/>
          <w:lang w:val="sr-Latn-ME"/>
        </w:rPr>
        <w:t xml:space="preserve">Instrukcije za plaćanje naknade za vođenje postupka od strane žalilaca iz inostranstva nalaze se na internet stranici Komisije za zaštitu prava nabavki </w:t>
      </w:r>
      <w:r>
        <w:rPr>
          <w:sz w:val="24"/>
          <w:szCs w:val="24"/>
        </w:rPr>
        <w:fldChar w:fldCharType="begin"/>
      </w:r>
      <w:r>
        <w:rPr>
          <w:sz w:val="24"/>
          <w:szCs w:val="24"/>
        </w:rPr>
        <w:instrText xml:space="preserve"> HYPERLINK "http://www.kontrola-nabavki.me/" </w:instrText>
      </w:r>
      <w:r>
        <w:rPr>
          <w:sz w:val="24"/>
          <w:szCs w:val="24"/>
        </w:rPr>
        <w:fldChar w:fldCharType="separate"/>
      </w:r>
      <w:r>
        <w:rPr>
          <w:rStyle w:val="9"/>
          <w:rFonts w:ascii="Arial" w:hAnsi="Arial" w:cs="Arial"/>
          <w:sz w:val="24"/>
          <w:szCs w:val="24"/>
          <w:lang w:val="sr-Latn-ME"/>
        </w:rPr>
        <w:t>http://www.kontrola-nabavki.me/</w:t>
      </w:r>
      <w:r>
        <w:rPr>
          <w:rStyle w:val="9"/>
          <w:rFonts w:ascii="Arial" w:hAnsi="Arial" w:cs="Arial"/>
          <w:sz w:val="24"/>
          <w:szCs w:val="24"/>
          <w:lang w:val="sr-Latn-ME"/>
        </w:rPr>
        <w:fldChar w:fldCharType="end"/>
      </w:r>
      <w:r>
        <w:rPr>
          <w:rFonts w:ascii="Arial" w:hAnsi="Arial" w:cs="Arial"/>
          <w:color w:val="000000"/>
          <w:sz w:val="24"/>
          <w:szCs w:val="24"/>
          <w:lang w:val="sr-Latn-ME"/>
        </w:rPr>
        <w:t>.“.</w:t>
      </w:r>
    </w:p>
    <w:bookmarkEnd w:id="24"/>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B764">
    <w:pPr>
      <w:tabs>
        <w:tab w:val="center" w:pos="4550"/>
        <w:tab w:val="left" w:pos="5818"/>
      </w:tabs>
      <w:ind w:right="260"/>
      <w:jc w:val="right"/>
      <w:rPr>
        <w:rFonts w:ascii="Arial" w:hAnsi="Arial" w:cs="Arial"/>
        <w:bCs/>
        <w:sz w:val="20"/>
        <w:szCs w:val="20"/>
      </w:rPr>
    </w:pPr>
    <w:r>
      <w:rPr>
        <w:rFonts w:ascii="Arial" w:hAnsi="Arial" w:cs="Arial"/>
        <w:bCs/>
        <w:sz w:val="20"/>
        <w:szCs w:val="20"/>
      </w:rPr>
      <w:t xml:space="preserve">strana </w:t>
    </w:r>
    <w:r>
      <w:rPr>
        <w:rFonts w:ascii="Arial" w:hAnsi="Arial" w:cs="Arial"/>
        <w:bCs/>
        <w:sz w:val="20"/>
        <w:szCs w:val="20"/>
      </w:rPr>
      <w:fldChar w:fldCharType="begin"/>
    </w:r>
    <w:r>
      <w:rPr>
        <w:rFonts w:ascii="Arial" w:hAnsi="Arial" w:cs="Arial"/>
        <w:bCs/>
        <w:sz w:val="20"/>
        <w:szCs w:val="20"/>
      </w:rPr>
      <w:instrText xml:space="preserve"> PAGE   \* MERGEFORMAT </w:instrText>
    </w:r>
    <w:r>
      <w:rPr>
        <w:rFonts w:ascii="Arial" w:hAnsi="Arial" w:cs="Arial"/>
        <w:bCs/>
        <w:sz w:val="20"/>
        <w:szCs w:val="20"/>
      </w:rPr>
      <w:fldChar w:fldCharType="separate"/>
    </w:r>
    <w:r>
      <w:rPr>
        <w:rFonts w:ascii="Arial" w:hAnsi="Arial" w:cs="Arial"/>
        <w:bCs/>
        <w:sz w:val="20"/>
        <w:szCs w:val="20"/>
      </w:rPr>
      <w:t>8</w:t>
    </w:r>
    <w:r>
      <w:rPr>
        <w:rFonts w:ascii="Arial" w:hAnsi="Arial" w:cs="Arial"/>
        <w:bCs/>
        <w:sz w:val="20"/>
        <w:szCs w:val="20"/>
      </w:rPr>
      <w:fldChar w:fldCharType="end"/>
    </w:r>
    <w:r>
      <w:rPr>
        <w:rFonts w:ascii="Arial" w:hAnsi="Arial" w:cs="Arial"/>
        <w:bCs/>
        <w:sz w:val="20"/>
        <w:szCs w:val="20"/>
      </w:rPr>
      <w:t xml:space="preserve"> od </w:t>
    </w:r>
    <w:r>
      <w:rPr>
        <w:rFonts w:ascii="Arial" w:hAnsi="Arial" w:cs="Arial"/>
        <w:bCs/>
        <w:sz w:val="20"/>
        <w:szCs w:val="20"/>
      </w:rPr>
      <w:fldChar w:fldCharType="begin"/>
    </w:r>
    <w:r>
      <w:rPr>
        <w:rFonts w:ascii="Arial" w:hAnsi="Arial" w:cs="Arial"/>
        <w:bCs/>
        <w:sz w:val="20"/>
        <w:szCs w:val="20"/>
      </w:rPr>
      <w:instrText xml:space="preserve"> NUMPAGES  \* Arabic  \* MERGEFORMAT </w:instrText>
    </w:r>
    <w:r>
      <w:rPr>
        <w:rFonts w:ascii="Arial" w:hAnsi="Arial" w:cs="Arial"/>
        <w:bCs/>
        <w:sz w:val="20"/>
        <w:szCs w:val="20"/>
      </w:rPr>
      <w:fldChar w:fldCharType="separate"/>
    </w:r>
    <w:r>
      <w:rPr>
        <w:rFonts w:ascii="Arial" w:hAnsi="Arial" w:cs="Arial"/>
        <w:bCs/>
        <w:sz w:val="20"/>
        <w:szCs w:val="20"/>
      </w:rPr>
      <w:t>9</w:t>
    </w:r>
    <w:r>
      <w:rPr>
        <w:rFonts w:ascii="Arial" w:hAnsi="Arial" w:cs="Arial"/>
        <w:bCs/>
        <w:sz w:val="20"/>
        <w:szCs w:val="20"/>
      </w:rPr>
      <w:fldChar w:fldCharType="end"/>
    </w:r>
  </w:p>
  <w:p w14:paraId="75EF2B6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77C4311">
      <w:pPr>
        <w:pStyle w:val="7"/>
        <w:jc w:val="both"/>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1">
    <w:p w14:paraId="4525917B">
      <w:pPr>
        <w:pStyle w:val="7"/>
        <w:jc w:val="both"/>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2">
    <w:p w14:paraId="4D4AFF43">
      <w:pPr>
        <w:pStyle w:val="7"/>
        <w:jc w:val="both"/>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Podatke iz tačke 2. </w:t>
      </w:r>
      <w:r>
        <w:rPr>
          <w:rFonts w:ascii="Arial" w:hAnsi="Arial" w:cs="Arial"/>
          <w:sz w:val="14"/>
          <w:szCs w:val="16"/>
          <w:lang w:val="sr-Latn-ME"/>
        </w:rPr>
        <w:t>Tehnička specifikacija predmeta javne nabavke naručilac neposredno UNOSI na ESJN elektronskim putem;</w:t>
      </w:r>
    </w:p>
  </w:footnote>
  <w:footnote w:id="3">
    <w:p w14:paraId="512F968A">
      <w:pPr>
        <w:pStyle w:val="7"/>
        <w:jc w:val="both"/>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Djelove tenderske dokumentacije </w:t>
      </w:r>
      <w:r>
        <w:rPr>
          <w:rFonts w:ascii="Arial" w:hAnsi="Arial" w:cs="Arial"/>
          <w:sz w:val="14"/>
          <w:szCs w:val="16"/>
          <w:lang w:val="sr-Latn-ME"/>
        </w:rPr>
        <w:t>iz tačke 3. - 16. naručilac sačinjava u formi word/PDF dokumenta i objavljuje unošenjem (attachment) dokumenta na ESJN;</w:t>
      </w:r>
    </w:p>
  </w:footnote>
  <w:footnote w:id="4">
    <w:p w14:paraId="29AF06DF">
      <w:pPr>
        <w:pStyle w:val="7"/>
        <w:jc w:val="both"/>
        <w:rPr>
          <w:rFonts w:ascii="Arial" w:hAnsi="Arial" w:cs="Arial"/>
          <w:sz w:val="16"/>
          <w:szCs w:val="16"/>
          <w:lang w:val="sr-Latn-ME"/>
        </w:rPr>
      </w:pPr>
      <w:r>
        <w:rPr>
          <w:rStyle w:val="6"/>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uključujući i sve troškove, nagrade i moguća obnavljanja ugovora na osnovu okvirnog sporazuma.</w:t>
      </w:r>
    </w:p>
  </w:footnote>
  <w:footnote w:id="5">
    <w:p w14:paraId="70A583BF">
      <w:pPr>
        <w:pStyle w:val="7"/>
        <w:jc w:val="both"/>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6">
    <w:p w14:paraId="44BD0911">
      <w:pPr>
        <w:pStyle w:val="7"/>
        <w:contextualSpacing/>
        <w:rPr>
          <w:rFonts w:ascii="Arial" w:hAnsi="Arial" w:cs="Arial"/>
          <w:sz w:val="14"/>
          <w:szCs w:val="16"/>
          <w:lang w:val="sr-Latn-ME"/>
        </w:rPr>
      </w:pPr>
      <w:r>
        <w:rPr>
          <w:rStyle w:val="6"/>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7">
    <w:p w14:paraId="2311A3E6">
      <w:pPr>
        <w:pStyle w:val="7"/>
        <w:jc w:val="both"/>
        <w:rPr>
          <w:rFonts w:ascii="Arial" w:hAnsi="Arial" w:cs="Arial"/>
          <w:sz w:val="14"/>
          <w:szCs w:val="14"/>
          <w:lang w:val="sr-Latn-ME"/>
        </w:rPr>
      </w:pPr>
      <w:r>
        <w:rPr>
          <w:rStyle w:val="6"/>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76C97668">
      <w:pPr>
        <w:jc w:val="both"/>
        <w:rPr>
          <w:rFonts w:ascii="Arial" w:hAnsi="Arial" w:cs="Arial"/>
          <w:color w:val="000000"/>
          <w:sz w:val="16"/>
          <w:szCs w:val="16"/>
        </w:rPr>
      </w:pPr>
      <w:r>
        <w:rPr>
          <w:rStyle w:val="6"/>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26C92F31"/>
    <w:multiLevelType w:val="multilevel"/>
    <w:tmpl w:val="26C92F31"/>
    <w:lvl w:ilvl="0" w:tentative="0">
      <w:start w:val="1"/>
      <w:numFmt w:val="decimal"/>
      <w:lvlText w:val="%1."/>
      <w:lvlJc w:val="left"/>
      <w:pPr>
        <w:ind w:left="720" w:hanging="360"/>
      </w:pPr>
      <w:rPr>
        <w:rFonts w:hint="default"/>
      </w:rPr>
    </w:lvl>
    <w:lvl w:ilvl="1" w:tentative="0">
      <w:start w:val="1"/>
      <w:numFmt w:val="decimal"/>
      <w:isLgl/>
      <w:lvlText w:val="%1.%2."/>
      <w:lvlJc w:val="left"/>
      <w:pPr>
        <w:ind w:left="840" w:hanging="480"/>
      </w:pPr>
      <w:rPr>
        <w:rFonts w:hint="default"/>
      </w:rPr>
    </w:lvl>
    <w:lvl w:ilvl="2" w:tentative="0">
      <w:start w:val="1"/>
      <w:numFmt w:val="decimal"/>
      <w:isLgl/>
      <w:lvlText w:val="%1.%2.%3."/>
      <w:lvlJc w:val="left"/>
      <w:pPr>
        <w:ind w:left="1145"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5363574F"/>
    <w:multiLevelType w:val="multilevel"/>
    <w:tmpl w:val="5363574F"/>
    <w:lvl w:ilvl="0" w:tentative="0">
      <w:start w:val="18"/>
      <w:numFmt w:val="bullet"/>
      <w:lvlText w:val="-"/>
      <w:lvlJc w:val="left"/>
      <w:pPr>
        <w:ind w:left="1800" w:hanging="360"/>
      </w:pPr>
      <w:rPr>
        <w:rFonts w:hint="default" w:ascii="Times New Roman" w:hAnsi="Times New Roman" w:eastAsia="Times New Roman" w:cs="Times New Roman"/>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61234FFF"/>
    <w:multiLevelType w:val="multilevel"/>
    <w:tmpl w:val="61234FFF"/>
    <w:lvl w:ilvl="0" w:tentative="0">
      <w:start w:val="18"/>
      <w:numFmt w:val="bullet"/>
      <w:lvlText w:val="-"/>
      <w:lvlJc w:val="left"/>
      <w:pPr>
        <w:ind w:left="1778" w:hanging="360"/>
      </w:pPr>
      <w:rPr>
        <w:rFonts w:hint="default" w:ascii="Times New Roman" w:hAnsi="Times New Roman" w:eastAsia="Times New Roman"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1080" w:hanging="360"/>
      </w:pPr>
      <w:rPr>
        <w:rFonts w:hint="default"/>
        <w:b/>
        <w:bCs/>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hyphenationZone w:val="425"/>
  <w:characterSpacingControl w:val="doNotCompress"/>
  <w:footnotePr>
    <w:footnote w:id="18"/>
    <w:footnote w:id="1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65"/>
    <w:rsid w:val="00046BC8"/>
    <w:rsid w:val="00062629"/>
    <w:rsid w:val="00067F16"/>
    <w:rsid w:val="000722F5"/>
    <w:rsid w:val="00081E1E"/>
    <w:rsid w:val="000837F2"/>
    <w:rsid w:val="00086A92"/>
    <w:rsid w:val="000B5BB8"/>
    <w:rsid w:val="000B60D8"/>
    <w:rsid w:val="000C6D75"/>
    <w:rsid w:val="000D4726"/>
    <w:rsid w:val="000D70A5"/>
    <w:rsid w:val="000F4890"/>
    <w:rsid w:val="000F7DF8"/>
    <w:rsid w:val="00100DE1"/>
    <w:rsid w:val="00114859"/>
    <w:rsid w:val="00140B94"/>
    <w:rsid w:val="00142302"/>
    <w:rsid w:val="001457CB"/>
    <w:rsid w:val="0015202A"/>
    <w:rsid w:val="001574D8"/>
    <w:rsid w:val="00186B0E"/>
    <w:rsid w:val="001969B5"/>
    <w:rsid w:val="001D3F7B"/>
    <w:rsid w:val="001D7965"/>
    <w:rsid w:val="001E4399"/>
    <w:rsid w:val="0021471A"/>
    <w:rsid w:val="0025720C"/>
    <w:rsid w:val="00287175"/>
    <w:rsid w:val="00291DC2"/>
    <w:rsid w:val="00296D30"/>
    <w:rsid w:val="002A68EE"/>
    <w:rsid w:val="002B3108"/>
    <w:rsid w:val="002C094C"/>
    <w:rsid w:val="00301DF5"/>
    <w:rsid w:val="00311F7E"/>
    <w:rsid w:val="00313846"/>
    <w:rsid w:val="00374EC8"/>
    <w:rsid w:val="003A74F3"/>
    <w:rsid w:val="003B50B3"/>
    <w:rsid w:val="003C021D"/>
    <w:rsid w:val="003E22D2"/>
    <w:rsid w:val="003E27FF"/>
    <w:rsid w:val="003F5F25"/>
    <w:rsid w:val="003F7B64"/>
    <w:rsid w:val="004002B6"/>
    <w:rsid w:val="004066B5"/>
    <w:rsid w:val="0041354D"/>
    <w:rsid w:val="00413F6A"/>
    <w:rsid w:val="004233AF"/>
    <w:rsid w:val="00423C1B"/>
    <w:rsid w:val="00440807"/>
    <w:rsid w:val="00442886"/>
    <w:rsid w:val="0044459C"/>
    <w:rsid w:val="004B0E9B"/>
    <w:rsid w:val="004E5AD5"/>
    <w:rsid w:val="004F2002"/>
    <w:rsid w:val="004F469F"/>
    <w:rsid w:val="0051571E"/>
    <w:rsid w:val="00531C89"/>
    <w:rsid w:val="00532AC9"/>
    <w:rsid w:val="00542054"/>
    <w:rsid w:val="00565F7D"/>
    <w:rsid w:val="0057713C"/>
    <w:rsid w:val="00585FFD"/>
    <w:rsid w:val="00595E1B"/>
    <w:rsid w:val="005A0564"/>
    <w:rsid w:val="005B08C9"/>
    <w:rsid w:val="005C584B"/>
    <w:rsid w:val="005C721E"/>
    <w:rsid w:val="005D1BF9"/>
    <w:rsid w:val="005E03C5"/>
    <w:rsid w:val="006007CA"/>
    <w:rsid w:val="0060220E"/>
    <w:rsid w:val="006106A7"/>
    <w:rsid w:val="00633429"/>
    <w:rsid w:val="00645603"/>
    <w:rsid w:val="00666C49"/>
    <w:rsid w:val="00674CBD"/>
    <w:rsid w:val="00675B84"/>
    <w:rsid w:val="00682971"/>
    <w:rsid w:val="00690D76"/>
    <w:rsid w:val="006A1865"/>
    <w:rsid w:val="006B023D"/>
    <w:rsid w:val="006B6A01"/>
    <w:rsid w:val="006E5065"/>
    <w:rsid w:val="006F0C46"/>
    <w:rsid w:val="006F25C6"/>
    <w:rsid w:val="00706B3C"/>
    <w:rsid w:val="00726C8F"/>
    <w:rsid w:val="00762191"/>
    <w:rsid w:val="00762461"/>
    <w:rsid w:val="00782CFD"/>
    <w:rsid w:val="00786008"/>
    <w:rsid w:val="007A6D88"/>
    <w:rsid w:val="007B31E4"/>
    <w:rsid w:val="007B7958"/>
    <w:rsid w:val="007C0623"/>
    <w:rsid w:val="007D7A92"/>
    <w:rsid w:val="007E4BCD"/>
    <w:rsid w:val="007E7098"/>
    <w:rsid w:val="007F24B4"/>
    <w:rsid w:val="00843727"/>
    <w:rsid w:val="0085079A"/>
    <w:rsid w:val="008861B8"/>
    <w:rsid w:val="008975D1"/>
    <w:rsid w:val="008A3A52"/>
    <w:rsid w:val="008A7DE3"/>
    <w:rsid w:val="008C0B5C"/>
    <w:rsid w:val="008F3988"/>
    <w:rsid w:val="0090085B"/>
    <w:rsid w:val="00946907"/>
    <w:rsid w:val="00955AEC"/>
    <w:rsid w:val="009648CC"/>
    <w:rsid w:val="009746A5"/>
    <w:rsid w:val="00976D41"/>
    <w:rsid w:val="00985E0D"/>
    <w:rsid w:val="009A1D62"/>
    <w:rsid w:val="009B33C2"/>
    <w:rsid w:val="009C2699"/>
    <w:rsid w:val="009E0E16"/>
    <w:rsid w:val="00A21871"/>
    <w:rsid w:val="00A21C5D"/>
    <w:rsid w:val="00A237A6"/>
    <w:rsid w:val="00A321A5"/>
    <w:rsid w:val="00A454B1"/>
    <w:rsid w:val="00A4694A"/>
    <w:rsid w:val="00A469D6"/>
    <w:rsid w:val="00A55C2B"/>
    <w:rsid w:val="00A748BA"/>
    <w:rsid w:val="00A86714"/>
    <w:rsid w:val="00A97FDB"/>
    <w:rsid w:val="00AB12F4"/>
    <w:rsid w:val="00AD086D"/>
    <w:rsid w:val="00AF09FA"/>
    <w:rsid w:val="00B12704"/>
    <w:rsid w:val="00B1674A"/>
    <w:rsid w:val="00B20D32"/>
    <w:rsid w:val="00B27096"/>
    <w:rsid w:val="00B46F1D"/>
    <w:rsid w:val="00B849EB"/>
    <w:rsid w:val="00B86C58"/>
    <w:rsid w:val="00BB55AB"/>
    <w:rsid w:val="00BC3253"/>
    <w:rsid w:val="00BC5581"/>
    <w:rsid w:val="00BE73C1"/>
    <w:rsid w:val="00C10782"/>
    <w:rsid w:val="00C108B6"/>
    <w:rsid w:val="00C1597E"/>
    <w:rsid w:val="00C2275B"/>
    <w:rsid w:val="00C424C1"/>
    <w:rsid w:val="00C44BAD"/>
    <w:rsid w:val="00C479CC"/>
    <w:rsid w:val="00C60404"/>
    <w:rsid w:val="00C75BC0"/>
    <w:rsid w:val="00CB3A6F"/>
    <w:rsid w:val="00CC7328"/>
    <w:rsid w:val="00CE2A55"/>
    <w:rsid w:val="00CE695B"/>
    <w:rsid w:val="00CF3BAE"/>
    <w:rsid w:val="00D1580D"/>
    <w:rsid w:val="00D21244"/>
    <w:rsid w:val="00D23B52"/>
    <w:rsid w:val="00D31CDE"/>
    <w:rsid w:val="00D33C0A"/>
    <w:rsid w:val="00D435F3"/>
    <w:rsid w:val="00D62073"/>
    <w:rsid w:val="00D645D8"/>
    <w:rsid w:val="00D66059"/>
    <w:rsid w:val="00DE0A83"/>
    <w:rsid w:val="00DE7F89"/>
    <w:rsid w:val="00E036ED"/>
    <w:rsid w:val="00E40F59"/>
    <w:rsid w:val="00E42860"/>
    <w:rsid w:val="00E66D25"/>
    <w:rsid w:val="00E87BEF"/>
    <w:rsid w:val="00EE5089"/>
    <w:rsid w:val="00EE6301"/>
    <w:rsid w:val="00EF70D5"/>
    <w:rsid w:val="00F050E2"/>
    <w:rsid w:val="00F4593F"/>
    <w:rsid w:val="00F55AFC"/>
    <w:rsid w:val="00F56728"/>
    <w:rsid w:val="00F57865"/>
    <w:rsid w:val="00F601CC"/>
    <w:rsid w:val="00F753F6"/>
    <w:rsid w:val="00F9123D"/>
    <w:rsid w:val="00FA6E82"/>
    <w:rsid w:val="00FB773B"/>
    <w:rsid w:val="00FE02AC"/>
    <w:rsid w:val="00FE7D07"/>
    <w:rsid w:val="00FF4E63"/>
    <w:rsid w:val="1DA453B1"/>
    <w:rsid w:val="1F245E85"/>
    <w:rsid w:val="3A445FA5"/>
    <w:rsid w:val="3CE74589"/>
    <w:rsid w:val="5F3A3451"/>
    <w:rsid w:val="624C0BAD"/>
    <w:rsid w:val="632E2BF2"/>
    <w:rsid w:val="67161C60"/>
    <w:rsid w:val="6B037464"/>
    <w:rsid w:val="6BE72613"/>
    <w:rsid w:val="7D38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Segoe UI" w:hAnsi="Segoe UI" w:cs="Segoe UI"/>
      <w:sz w:val="18"/>
      <w:szCs w:val="18"/>
    </w:rPr>
  </w:style>
  <w:style w:type="paragraph" w:styleId="5">
    <w:name w:val="footer"/>
    <w:basedOn w:val="1"/>
    <w:link w:val="14"/>
    <w:unhideWhenUsed/>
    <w:qFormat/>
    <w:uiPriority w:val="99"/>
    <w:pPr>
      <w:tabs>
        <w:tab w:val="center" w:pos="4680"/>
        <w:tab w:val="right" w:pos="9360"/>
      </w:tabs>
    </w:pPr>
  </w:style>
  <w:style w:type="character" w:styleId="6">
    <w:name w:val="footnote reference"/>
    <w:unhideWhenUsed/>
    <w:qFormat/>
    <w:uiPriority w:val="99"/>
    <w:rPr>
      <w:vertAlign w:val="superscript"/>
    </w:rPr>
  </w:style>
  <w:style w:type="paragraph" w:styleId="7">
    <w:name w:val="footnote text"/>
    <w:basedOn w:val="1"/>
    <w:link w:val="12"/>
    <w:unhideWhenUsed/>
    <w:qFormat/>
    <w:uiPriority w:val="99"/>
    <w:rPr>
      <w:rFonts w:ascii="Calibri" w:hAnsi="Calibri" w:eastAsia="Calibri"/>
      <w:sz w:val="20"/>
      <w:szCs w:val="20"/>
    </w:rPr>
  </w:style>
  <w:style w:type="paragraph" w:styleId="8">
    <w:name w:val="header"/>
    <w:basedOn w:val="1"/>
    <w:link w:val="13"/>
    <w:unhideWhenUsed/>
    <w:qFormat/>
    <w:uiPriority w:val="99"/>
    <w:pPr>
      <w:tabs>
        <w:tab w:val="center" w:pos="4680"/>
        <w:tab w:val="right" w:pos="9360"/>
      </w:tabs>
    </w:pPr>
  </w:style>
  <w:style w:type="character" w:styleId="9">
    <w:name w:val="Hyperlink"/>
    <w:qFormat/>
    <w:uiPriority w:val="99"/>
    <w:rPr>
      <w:color w:val="0000FF"/>
      <w:u w:val="single"/>
    </w:rPr>
  </w:style>
  <w:style w:type="character" w:customStyle="1" w:styleId="10">
    <w:name w:val="Balloon Text Char"/>
    <w:basedOn w:val="2"/>
    <w:link w:val="4"/>
    <w:semiHidden/>
    <w:qFormat/>
    <w:uiPriority w:val="99"/>
    <w:rPr>
      <w:rFonts w:ascii="Segoe UI" w:hAnsi="Segoe UI" w:cs="Segoe UI"/>
      <w:sz w:val="18"/>
      <w:szCs w:val="18"/>
    </w:rPr>
  </w:style>
  <w:style w:type="paragraph" w:customStyle="1" w:styleId="11">
    <w:name w:val="T30X"/>
    <w:basedOn w:val="1"/>
    <w:qFormat/>
    <w:uiPriority w:val="99"/>
    <w:pPr>
      <w:autoSpaceDE w:val="0"/>
      <w:autoSpaceDN w:val="0"/>
      <w:adjustRightInd w:val="0"/>
      <w:spacing w:before="60" w:after="60"/>
      <w:ind w:firstLine="283"/>
      <w:jc w:val="both"/>
    </w:pPr>
    <w:rPr>
      <w:color w:val="000000"/>
      <w:sz w:val="22"/>
      <w:szCs w:val="22"/>
    </w:rPr>
  </w:style>
  <w:style w:type="character" w:customStyle="1" w:styleId="12">
    <w:name w:val="Footnote Text Char"/>
    <w:basedOn w:val="2"/>
    <w:link w:val="7"/>
    <w:qFormat/>
    <w:uiPriority w:val="99"/>
    <w:rPr>
      <w:rFonts w:ascii="Calibri" w:hAnsi="Calibri" w:eastAsia="Calibri" w:cs="Times New Roman"/>
      <w:sz w:val="20"/>
      <w:szCs w:val="20"/>
    </w:rPr>
  </w:style>
  <w:style w:type="character" w:customStyle="1" w:styleId="13">
    <w:name w:val="Header Char"/>
    <w:basedOn w:val="2"/>
    <w:link w:val="8"/>
    <w:qFormat/>
    <w:uiPriority w:val="99"/>
    <w:rPr>
      <w:rFonts w:ascii="Times New Roman" w:hAnsi="Times New Roman" w:eastAsia="Times New Roman" w:cs="Times New Roman"/>
      <w:sz w:val="24"/>
      <w:szCs w:val="24"/>
    </w:rPr>
  </w:style>
  <w:style w:type="character" w:customStyle="1" w:styleId="14">
    <w:name w:val="Footer Char"/>
    <w:basedOn w:val="2"/>
    <w:link w:val="5"/>
    <w:qFormat/>
    <w:uiPriority w:val="99"/>
    <w:rPr>
      <w:rFonts w:ascii="Times New Roman" w:hAnsi="Times New Roman" w:eastAsia="Times New Roman" w:cs="Times New Roman"/>
      <w:sz w:val="24"/>
      <w:szCs w:val="24"/>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2750</Words>
  <Characters>15677</Characters>
  <Lines>130</Lines>
  <Paragraphs>36</Paragraphs>
  <TotalTime>9</TotalTime>
  <ScaleCrop>false</ScaleCrop>
  <LinksUpToDate>false</LinksUpToDate>
  <CharactersWithSpaces>18391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2025-11-26T08:06:00Z</dcterms:created>
  <dc:creator>Dijana Ducic</dc:creator>
  <cp:lastModifiedBy>WPS_1710147653</cp:lastModifiedBy>
  <cp:lastPrinted>2025-09-30T11:39:00Z</cp:lastPrinted>
  <dcterms:modified xsi:type="dcterms:W3CDTF">2025-11-27T13:25:05Z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62F17A241B204CE881C6EF0142BBBCEB_13</vt:lpwstr>
  </property>
</Properties>
</file>