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F5" w:rsidRPr="002B12BD" w:rsidRDefault="00BF32F5" w:rsidP="002B12B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OBRAZAC 1  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736A24" w:rsidP="002B12B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Broj iz evidencije postupaka javnih nabavki: </w:t>
      </w:r>
      <w:r w:rsidR="009F52E5">
        <w:rPr>
          <w:rFonts w:ascii="Times New Roman" w:hAnsi="Times New Roman" w:cs="Times New Roman"/>
          <w:sz w:val="24"/>
          <w:szCs w:val="24"/>
          <w:lang w:val="sr-Latn-ME"/>
        </w:rPr>
        <w:t>64/22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Red</w:t>
      </w:r>
      <w:r w:rsidR="009F52E5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 broj iz Plana javnih nabavki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736A24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28</w:t>
      </w:r>
    </w:p>
    <w:p w:rsidR="00BF32F5" w:rsidRPr="002B12BD" w:rsidRDefault="00736A24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Podgorica, broj 03/01-</w:t>
      </w:r>
      <w:r w:rsidR="0006465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20189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/3 od </w:t>
      </w:r>
      <w:r w:rsidR="0006465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29.07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.2022. godine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Pr="002B12BD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ab/>
        <w:t xml:space="preserve"> </w:t>
      </w:r>
      <w:r w:rsidR="00736A24" w:rsidRPr="002B12BD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 xml:space="preserve">Klinički centar Crne Gore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objavljuje</w:t>
      </w: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  <w:r w:rsidRPr="002B12BD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BF32F5" w:rsidRPr="002B12BD" w:rsidRDefault="00BF32F5" w:rsidP="002B12B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TENDERSKU DOKUMENTACIJU</w:t>
      </w:r>
    </w:p>
    <w:p w:rsidR="00BF32F5" w:rsidRPr="002B12BD" w:rsidRDefault="00BF32F5" w:rsidP="002B1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BF32F5" w:rsidRPr="002B12BD" w:rsidRDefault="00BF32F5" w:rsidP="002B1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9F52E5" w:rsidRDefault="009F52E5" w:rsidP="009F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>skenera</w:t>
      </w:r>
      <w:proofErr w:type="spellEnd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(CT) </w:t>
      </w:r>
      <w:proofErr w:type="spellStart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>multislajsnog</w:t>
      </w:r>
      <w:proofErr w:type="spellEnd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>sa</w:t>
      </w:r>
      <w:proofErr w:type="spellEnd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>najmanje</w:t>
      </w:r>
      <w:proofErr w:type="spellEnd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9F52E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128 </w:t>
      </w:r>
      <w:proofErr w:type="spellStart"/>
      <w:r w:rsidRPr="009F52E5">
        <w:rPr>
          <w:rFonts w:ascii="Times New Roman" w:hAnsi="Times New Roman" w:cs="Times New Roman"/>
          <w:b/>
          <w:sz w:val="24"/>
          <w:szCs w:val="24"/>
          <w:lang w:val="es-ES_tradnl"/>
        </w:rPr>
        <w:t>slojeva</w:t>
      </w:r>
      <w:proofErr w:type="spellEnd"/>
      <w:r w:rsidRPr="009F52E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9F52E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po</w:t>
      </w:r>
      <w:proofErr w:type="spellEnd"/>
      <w:r w:rsidRPr="009F52E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9F52E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jednoj</w:t>
      </w:r>
      <w:proofErr w:type="spellEnd"/>
      <w:r w:rsidRPr="009F52E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9F52E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rotaciji</w:t>
      </w:r>
      <w:proofErr w:type="spellEnd"/>
    </w:p>
    <w:p w:rsidR="00B22C1E" w:rsidRDefault="00B22C1E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22C1E" w:rsidRDefault="00B22C1E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22C1E" w:rsidRDefault="00B22C1E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Predmet nabavke se nabavlja: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736A24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kao cjelina 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Default="00BF32F5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2B12BD" w:rsidRPr="002B12BD" w:rsidRDefault="002B12BD" w:rsidP="002B1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3"/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lastRenderedPageBreak/>
        <w:t>POZIV ZA NADMETANJE</w:t>
      </w:r>
      <w:r w:rsidRPr="002B12B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1"/>
      </w:r>
      <w:bookmarkEnd w:id="0"/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 </w:t>
      </w:r>
    </w:p>
    <w:p w:rsidR="00BF32F5" w:rsidRPr="002B12BD" w:rsidRDefault="00BF32F5" w:rsidP="002B12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:rsidR="00BF32F5" w:rsidRPr="002B12BD" w:rsidRDefault="00BF32F5" w:rsidP="002B12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Vrsta postupka,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Procijenjena vrijednost predmeta nabavke</w:t>
      </w:r>
      <w:r w:rsidRPr="002B12B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2"/>
      </w: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Način nabavke: </w:t>
      </w:r>
    </w:p>
    <w:p w:rsidR="00736A24" w:rsidRPr="002B12BD" w:rsidRDefault="00BF32F5" w:rsidP="002B12B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Cjelina, 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Uslovi za učešće u postupku javne nabavke,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Kriterijum za izbor najpovoljnije ponude,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za donošenje odluke o izboru,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važenja ponude,</w:t>
      </w:r>
    </w:p>
    <w:p w:rsidR="00BF32F5" w:rsidRPr="002B12BD" w:rsidRDefault="00BF32F5" w:rsidP="002B12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Garancija ponude</w:t>
      </w:r>
    </w:p>
    <w:p w:rsidR="00BF32F5" w:rsidRPr="002B12BD" w:rsidRDefault="00BF32F5" w:rsidP="002B12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" w:name="_Toc62730554"/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2B12B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1"/>
    </w:p>
    <w:p w:rsidR="00BF32F5" w:rsidRPr="002B12BD" w:rsidRDefault="00BF32F5" w:rsidP="002B1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Naziv i opis predmeta nabavke u cjelini, po partijama i stavkama sa bitnim karakteristikama</w:t>
      </w:r>
    </w:p>
    <w:p w:rsidR="00BF32F5" w:rsidRPr="002B12BD" w:rsidRDefault="00BF32F5" w:rsidP="002B1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BF32F5" w:rsidRPr="002B12BD" w:rsidRDefault="00BF32F5" w:rsidP="002B12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2" w:name="_Toc62730555"/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Pr="002B12B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4"/>
      </w:r>
      <w:bookmarkEnd w:id="2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predmenta nabavke:</w:t>
      </w:r>
      <w:r w:rsidRPr="002B12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sr-Latn-ME"/>
        </w:rPr>
        <w:footnoteReference w:id="5"/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="00736A24"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kao cjeline je 454.545,00</w:t>
      </w: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€;</w:t>
      </w:r>
    </w:p>
    <w:p w:rsidR="00BF32F5" w:rsidRPr="002B12BD" w:rsidRDefault="00BF32F5" w:rsidP="002B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2B12B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6"/>
      </w:r>
    </w:p>
    <w:p w:rsidR="00BF32F5" w:rsidRPr="002B12BD" w:rsidRDefault="00736A24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Predmet nabavke je aparat CT i kao takav može biti nabavljen samo u cjelini.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ZAKLJUČIVANJE OKVIRNOG SPORAZUMA</w:t>
      </w:r>
      <w:r w:rsidRPr="002B12B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Zaključiće se okvirni sporazum: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Vrsta i uslovi rezervisane nabavke</w:t>
      </w:r>
      <w:r w:rsidR="00736A24" w:rsidRPr="002B12BD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/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3" w:name="_Toc62730556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NAČIN UTVRĐIVANJA EKVIVALENTNOSTI</w:t>
      </w:r>
      <w:bookmarkEnd w:id="3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Način utvrđivanja ekvivalentnosti:</w:t>
      </w:r>
      <w:r w:rsidR="00736A24" w:rsidRPr="002B12BD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/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3) postoji drugi razlog predviđen ovim zakonom. 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5" w:name="_Toc62730558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BF32F5" w:rsidRPr="00AC58D1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garanciju za dobro izvršenje ugovora za slučaj povrede ugovorenih obaveza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iznosu od </w:t>
      </w:r>
      <w:r w:rsidR="00736A24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% od vrijednosti ugovora</w:t>
      </w:r>
      <w:r w:rsidRPr="002B12BD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t xml:space="preserve"> </w:t>
      </w:r>
      <w:r w:rsidR="00AC58D1">
        <w:rPr>
          <w:rFonts w:ascii="Times New Roman" w:hAnsi="Times New Roman" w:cs="Times New Roman"/>
          <w:sz w:val="24"/>
          <w:szCs w:val="24"/>
          <w:lang w:val="sr-Latn-ME"/>
        </w:rPr>
        <w:t>koju će naručilac aktivirati ukoliko dobavljač ne izvršava uredno svoje ugovorene obaveze;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garanciju za otklanjanje nedostataka u garantnom roku, za slučaj da izabrani ponuđač u garantnom roku ne ispuni obaveze na koje se garancija odnosi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iznosu od </w:t>
      </w:r>
      <w:r w:rsidR="00736A24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% od vrijednosti ugovora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sa rokom važenja od </w:t>
      </w:r>
      <w:r w:rsidR="00736A24" w:rsidRPr="002B12BD">
        <w:rPr>
          <w:rFonts w:ascii="Times New Roman" w:hAnsi="Times New Roman" w:cs="Times New Roman"/>
          <w:sz w:val="24"/>
          <w:szCs w:val="24"/>
          <w:lang w:val="sr-Latn-ME"/>
        </w:rPr>
        <w:t>dana kada je izvršena primop</w:t>
      </w:r>
      <w:r w:rsidR="00AC58D1">
        <w:rPr>
          <w:rFonts w:ascii="Times New Roman" w:hAnsi="Times New Roman" w:cs="Times New Roman"/>
          <w:sz w:val="24"/>
          <w:szCs w:val="24"/>
          <w:lang w:val="sr-Latn-ME"/>
        </w:rPr>
        <w:t>redaja do isteka garantnog roka, a koju će naručilac aktivirati ukoliko dobavaljač za vrijeme garantnog roka ne izvršava svoje ugovorne obaveze.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6" w:name="_Toc62730559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6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2B12BD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footnoteReference w:id="8"/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odnos cijene i kvaliteta </w:t>
      </w:r>
    </w:p>
    <w:p w:rsidR="00BF32F5" w:rsidRPr="002B12BD" w:rsidRDefault="00BF32F5" w:rsidP="002B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Koristiće se </w:t>
      </w:r>
      <w:r w:rsidR="00D24113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kombinovana</w:t>
      </w: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metoda na sljedeći način: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Podkriterijum cijena će se vrednovati </w:t>
      </w:r>
      <w:r w:rsidR="00D24113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po proporcionalnoj metodi </w:t>
      </w: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na sljedeći način: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Kao osnov za vrednovanje ponuda uzimaju se ponuđene cijene ispravnih ponuda.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iskazuje na način što se najniža ukupna ponuđena cijena podijeli sa ponuđenom cijenom i dobijeni količnik pomnoži sa brojem bodova koji je određen za ovaj podkriterijum od maksimalnih 40 bodova, po formuli: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Broj bodova = C (Najniža ponuđena cijena) / C (ponuđena cijena) * 40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U okviru podkriterijuma kvalitet</w:t>
      </w:r>
      <w:r w:rsidR="00D24113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, koji će se vrednovati po apsolutnoj metodi,</w:t>
      </w:r>
      <w:r w:rsidRPr="00A7379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vrednovaće se sledeće karakteristike:</w:t>
      </w:r>
    </w:p>
    <w:p w:rsidR="003A518F" w:rsidRPr="00A73799" w:rsidRDefault="003A518F" w:rsidP="003A5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R. br.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KARAKTERISTIKA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Broj  bodova koji se dodjeljuje ponuđaču  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1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Otvor gentrija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od 71 cm do 73 cm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2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74 cm do 76 cm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5</w:t>
      </w:r>
    </w:p>
    <w:p w:rsidR="008F1530" w:rsidRPr="008F1530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77 cm i viš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e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8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2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Nagib stativa, fizički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DA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6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NE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0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3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Ukupan broj detektorskih elemenata, najmanje  43.008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43.009 do 49.999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2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50.000 do 59.999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4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60.000 do 69.999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6</w:t>
      </w:r>
    </w:p>
    <w:p w:rsidR="008F1530" w:rsidRPr="008F1530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70.000 i viš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e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10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4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Nominalna snaga generatora, realna vrijednost (ne prihvataju se efektivne ili ekvivalentne vrijednosti), najmanje 72 kW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73 do 74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1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75 do 76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3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77 do 78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6</w:t>
      </w:r>
    </w:p>
    <w:p w:rsidR="008F1530" w:rsidRPr="008F1530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- 79 i viš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e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8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5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Napon rendgenske cijevi, najmanje 70 kV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DA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4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NE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0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6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Realni toplotni kapacitet anode c</w:t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>ij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evi (ne prihvataju se efektivne ili ekvivalentne vrijednosti) , najmanje 7 MHU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- 0d 7,1 MHU do 7.4 MHU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0150F4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1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- 0d 7,5 MHU do 7.9 MHU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0150F4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4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- 8  MHU i vise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0150F4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8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7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Najveća brzina hlađenja anode, najmanje 1000 kHU/min, (ne prihvataju se efektivne ili ekvivalentne vr</w:t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>ij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ednosti)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 1.001 do 1149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1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1.150 do 1.299  </w:t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>2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1.300 do 1.449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5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1.550 do 1.699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7</w:t>
      </w:r>
    </w:p>
    <w:p w:rsidR="008F1530" w:rsidRPr="008F1530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- 1700  i viš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e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8</w:t>
      </w:r>
    </w:p>
    <w:p w:rsidR="008F1530" w:rsidRPr="008F1530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>8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>Najveć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i broj rekonstrukcionih slika u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>jedinici vremena, odnosno najveć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a brzina rekonstrukcije slike, realna vrijednost, tj. vrijednost bez prim</w:t>
      </w:r>
      <w:r w:rsidR="0006465C">
        <w:rPr>
          <w:rFonts w:ascii="Times New Roman" w:eastAsia="SimSun" w:hAnsi="Times New Roman"/>
          <w:i/>
          <w:sz w:val="24"/>
          <w:szCs w:val="24"/>
          <w:lang w:val="ro-RO"/>
        </w:rPr>
        <w:t>j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ene softverskih aplikacija, ne efektivna, ne ekvivalentne vrijednosti, najmanje 12  slika/sec,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13 do 29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1</w:t>
      </w:r>
    </w:p>
    <w:p w:rsidR="008F1530" w:rsidRPr="008F1530" w:rsidRDefault="008F1530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lastRenderedPageBreak/>
        <w:t xml:space="preserve">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od 30 do 49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 w:rsidR="00770F1E"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</w:t>
      </w:r>
      <w:r w:rsidRPr="008F1530">
        <w:rPr>
          <w:rFonts w:ascii="Times New Roman" w:eastAsia="SimSun" w:hAnsi="Times New Roman"/>
          <w:i/>
          <w:sz w:val="24"/>
          <w:szCs w:val="24"/>
          <w:lang w:val="ro-RO"/>
        </w:rPr>
        <w:t>5</w:t>
      </w:r>
    </w:p>
    <w:p w:rsidR="00594C8E" w:rsidRDefault="00770F1E" w:rsidP="008F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eastAsia="SimSun" w:hAnsi="Times New Roman"/>
          <w:i/>
          <w:sz w:val="24"/>
          <w:szCs w:val="24"/>
          <w:lang w:val="ro-RO"/>
        </w:rPr>
        <w:tab/>
        <w:t xml:space="preserve"> - 50 i vš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 xml:space="preserve">se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ab/>
      </w:r>
      <w:r>
        <w:rPr>
          <w:rFonts w:ascii="Times New Roman" w:eastAsia="SimSun" w:hAnsi="Times New Roman"/>
          <w:i/>
          <w:sz w:val="24"/>
          <w:szCs w:val="24"/>
          <w:lang w:val="ro-RO"/>
        </w:rPr>
        <w:t xml:space="preserve">                                      </w:t>
      </w:r>
      <w:r w:rsidR="008F1530" w:rsidRPr="008F1530">
        <w:rPr>
          <w:rFonts w:ascii="Times New Roman" w:eastAsia="SimSun" w:hAnsi="Times New Roman"/>
          <w:i/>
          <w:sz w:val="24"/>
          <w:szCs w:val="24"/>
          <w:lang w:val="ro-RO"/>
        </w:rPr>
        <w:t>8</w:t>
      </w:r>
    </w:p>
    <w:p w:rsidR="008F1530" w:rsidRDefault="008F1530" w:rsidP="005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</w:p>
    <w:p w:rsidR="008F1530" w:rsidRDefault="00770F1E" w:rsidP="005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  <w:r>
        <w:rPr>
          <w:rFonts w:ascii="Times New Roman" w:eastAsia="SimSun" w:hAnsi="Times New Roman"/>
          <w:i/>
          <w:sz w:val="24"/>
          <w:szCs w:val="24"/>
          <w:lang w:val="ro-RO"/>
        </w:rPr>
        <w:t>Maksimalni broj bodova koji se može dodijeliti po osnovu kvaliteta je 60.</w:t>
      </w:r>
    </w:p>
    <w:p w:rsidR="008F1530" w:rsidRPr="00A73799" w:rsidRDefault="008F1530" w:rsidP="005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val="ro-RO"/>
        </w:rPr>
      </w:pPr>
    </w:p>
    <w:p w:rsidR="00BF32F5" w:rsidRPr="002B12BD" w:rsidRDefault="003A518F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7" w:name="_Toc62730560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JEZIK PONUDE</w:t>
      </w:r>
      <w:bookmarkEnd w:id="7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Ponuda se sačinjava na: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6A24" w:rsidRPr="002B12BD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 xml:space="preserve">Engleski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jezik za djelove ponude koji se odnose na:</w:t>
      </w:r>
    </w:p>
    <w:p w:rsidR="00BF32F5" w:rsidRPr="002B12BD" w:rsidRDefault="00F82229" w:rsidP="002B12BD">
      <w:pPr>
        <w:pStyle w:val="ListParagraph"/>
        <w:numPr>
          <w:ilvl w:val="0"/>
          <w:numId w:val="7"/>
        </w:numPr>
        <w:tabs>
          <w:tab w:val="left" w:pos="426"/>
        </w:tabs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Dokaze o tehničkim karakteristikama</w:t>
      </w:r>
      <w:r w:rsidR="00063AE9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BF32F5" w:rsidRPr="002B12BD" w:rsidRDefault="00736A24" w:rsidP="002B12BD">
      <w:pPr>
        <w:pStyle w:val="ListParagraph"/>
        <w:numPr>
          <w:ilvl w:val="0"/>
          <w:numId w:val="7"/>
        </w:numPr>
        <w:tabs>
          <w:tab w:val="left" w:pos="426"/>
        </w:tabs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ovlašćenje proizvođača,</w:t>
      </w:r>
    </w:p>
    <w:p w:rsidR="00F82229" w:rsidRDefault="00F82229" w:rsidP="00B02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33A" w:rsidRPr="00B0233A" w:rsidRDefault="00B0233A" w:rsidP="00B02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da od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traži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prevod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dijela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33A">
        <w:rPr>
          <w:rFonts w:ascii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B023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8" w:name="_Toc62730561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8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30.08.2022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godine do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11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h.</w:t>
      </w: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ME"/>
        </w:rPr>
      </w:pP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Otvaranje ponuda održaće se dana 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30.08.2022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godine u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11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 u prostorijama Službe za javne nabavke na adresi Ljubljanska bb Podgorica.</w:t>
      </w: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Dio ponude koje se ne dostavlja preko ESJN-a, a odnosi se na 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garanciju ponude 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dostavlja se: </w:t>
      </w:r>
    </w:p>
    <w:p w:rsidR="00BF32F5" w:rsidRPr="00671F56" w:rsidRDefault="00BF32F5" w:rsidP="002B12BD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2B12BD" w:rsidRPr="00671F5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Ljubljanska bb, Podgorica;</w:t>
      </w:r>
    </w:p>
    <w:p w:rsidR="00BF32F5" w:rsidRPr="00671F56" w:rsidRDefault="00BF32F5" w:rsidP="002B12BD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2B12BD" w:rsidRPr="00671F56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Ljubljanska bb, Podgorica,</w:t>
      </w:r>
    </w:p>
    <w:p w:rsidR="00BF32F5" w:rsidRPr="00671F56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radnim danima od 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07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 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15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sati, zaključno sa danom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30.08.2022</w:t>
      </w:r>
      <w:r w:rsidR="002B12BD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 </w:t>
      </w:r>
      <w:r w:rsidR="00671F56"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11</w:t>
      </w:r>
      <w:r w:rsidRPr="00671F5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9" w:name="_Toc62730562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r w:rsidRPr="002B12BD">
        <w:rPr>
          <w:rFonts w:ascii="Times New Roman" w:hAnsi="Times New Roman" w:cs="Times New Roman"/>
          <w:b/>
          <w:sz w:val="24"/>
          <w:szCs w:val="24"/>
          <w:vertAlign w:val="superscript"/>
          <w:lang w:val="sr-Latn-ME"/>
        </w:rPr>
        <w:footnoteReference w:id="9"/>
      </w:r>
      <w:bookmarkEnd w:id="9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1) odustane od ponude u roku važenja ponude;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2) ne dostavi zahtijevane dokaze prije potpisivanja ugovora;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3) odbije da potpiše ugovor o javnoj nabavci ili okvirni sporazum; ili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4) u izjavi privrednog subjekta navede netačne činjenice o ispunjenosti uslova iz člana 111 stav 4 Zakona o javnim nabavkama.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0" w:name="_Toc62730563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0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Tenderska dokumentacija sadrži tajne podatke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sym w:font="Wingdings" w:char="F0A8"/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1" w:name="_Toc62730564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UPUTSTVO ZA SAČINJAVANJE PONUDE</w:t>
      </w:r>
      <w:bookmarkEnd w:id="11"/>
    </w:p>
    <w:p w:rsidR="00BF32F5" w:rsidRPr="002B12BD" w:rsidRDefault="00BF32F5" w:rsidP="002B12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Ponuđač je dužan da tačno i nedvosmisleno popuni </w:t>
      </w:r>
      <w:r w:rsidRPr="002B12BD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2" w:name="_Toc62730565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2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BF32F5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77A39" w:rsidRPr="002B12BD" w:rsidRDefault="00777A39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B12B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10"/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sr-Latn-CS" w:eastAsia="zh-TW"/>
        </w:rPr>
        <w:t>Roba se otprema u izvoznom pakovanju, po važećim normativima u zemlji isporučioca  i standardima Evropske zajednice, sa detaljnom Paking listom i markiranjem paketa bojom otpornom na vremenske uticaje, sa temperaturnim režimom i upozorenjima o postupanju sa robom u transportu.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>Svaka reklamacija koja bude konstatovana u isporuci i transportu pada na teret Dobavljača.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Dobavljač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je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dužan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da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najavi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isporuku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robe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najmanje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3 (tri</w:t>
      </w:r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) dana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prije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dana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radi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određivanja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datuma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vremena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isporuke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,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odnosno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prijema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od</w:t>
      </w:r>
      <w:proofErr w:type="spellEnd"/>
      <w:r w:rsidRPr="00576107"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>Magacina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GB" w:eastAsia="zh-TW"/>
        </w:rPr>
        <w:t xml:space="preserve"> KCCG</w:t>
      </w: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. Svi učesnici prijema robe su i lica odgovorna da potpišu uredno izvršen prijem.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GB" w:eastAsia="zh-TW"/>
        </w:rPr>
      </w:pPr>
    </w:p>
    <w:p w:rsidR="00777A39" w:rsidRPr="00576107" w:rsidRDefault="00777A39" w:rsidP="00777A39">
      <w:pPr>
        <w:tabs>
          <w:tab w:val="left" w:pos="996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val="en-GB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lastRenderedPageBreak/>
        <w:t>Prilikom prijema robe vršiće se razvrstavnje robe po srodnosti i usaglašavati tačno stanje primljene robe po vrsti i količini sa dostavljenom otpremnicom. U slučaju da se utvrdi da isporučena roba nema zahtijevane i ugovorene tehničke karakteristike ili da nije isporučena roba u ugovorenoj odnosno naručenoj količini,  sačiniće se poseban zapisnik sa konstatacijom razloga neslaganja i dostaviti zapisnik nadležnoj službi Naručioca, koja će uputiti zvaničnu reklamaciju ponuđaču, osim u slučajevima kada ponuđač  na licu mjesta prihvata reklamaciju potpisom na zapisnik.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Robu mora da prati otpremnica (račun) na kojoj roba mora biti definisana u skladu sa ponudom koja je prihvaćena i ovim ugovorom (isti naziv robe, zaštićeni naziv robe, kataloški broj i proizvođački bar kod koji je na proizvodu</w:t>
      </w:r>
      <w:r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, naziv proizvođača</w:t>
      </w: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).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Račun za isporučenu robu Dobavljač će predati na Arhivu KCCG koji od tog momenta prolazi kroz postupak obrade do konačnog plaćanja prema ugovorenim rokovima.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76107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>Smatra se da je izvršena adekvatna isporuka kada ovlašćena lica Naručioca i Dobavljača u mjestu skladištenja izvrši prijem robe, što se potvrđuje zapisnikom.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77A39" w:rsidRPr="00344DF2" w:rsidRDefault="00777A39" w:rsidP="00777A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Ako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zapisnički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utvrdi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roba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koju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isporučio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Naručiocu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nema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tehničke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karakteristike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dužan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u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tri dana od dana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dobijanja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reklamacije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isporuči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robu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7A39" w:rsidRPr="00576107" w:rsidRDefault="00777A39" w:rsidP="00777A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slučaju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skrivenih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nedostataka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isporučene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koji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nijesu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mogli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ustanoviti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momentu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preuzimanja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reklamacija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 se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vrši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preporučenim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pismom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48 (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četrdeset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osam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sati od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saznanja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7A39" w:rsidRDefault="00777A39" w:rsidP="0077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Ako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kasni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isporukom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obavezan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da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naknadi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štetu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Naručiocu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visini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%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ukupne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vrijednosti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neisporučene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robe,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svaki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dan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zakašnjenja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najviše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5% </w:t>
      </w:r>
      <w:proofErr w:type="spellStart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>ugovorene</w:t>
      </w:r>
      <w:proofErr w:type="spellEnd"/>
      <w:r w:rsidRPr="00344DF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vrijednosti.</w:t>
      </w:r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tom </w:t>
      </w:r>
      <w:proofErr w:type="spellStart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slučaju</w:t>
      </w:r>
      <w:proofErr w:type="spellEnd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aktiviraće</w:t>
      </w:r>
      <w:proofErr w:type="spellEnd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činidbena</w:t>
      </w:r>
      <w:proofErr w:type="spellEnd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garancija</w:t>
      </w:r>
      <w:proofErr w:type="spellEnd"/>
      <w:r w:rsidR="00063AE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777A39" w:rsidRPr="00576107" w:rsidRDefault="00777A39" w:rsidP="0077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7A39" w:rsidRPr="00576107" w:rsidRDefault="00777A39" w:rsidP="00777A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Ukoliko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Dobavljač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reklamiranu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robu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isporuči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roku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od 10 (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deset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dana od dana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obavještenja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Naručilac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ima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pravo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 od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Dobavljača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nadoknadi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stvarne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troškove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čiju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visinu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utvrđuje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Naručilac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po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važećim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>normativima</w:t>
      </w:r>
      <w:proofErr w:type="spellEnd"/>
      <w:r w:rsidRPr="005761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</w:p>
    <w:p w:rsidR="00777A39" w:rsidRPr="00D13A79" w:rsidRDefault="00777A39" w:rsidP="00777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2F5" w:rsidRPr="002F6EBE" w:rsidRDefault="00777A39" w:rsidP="002B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zaključen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kršenje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antikorupcijskog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ništav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79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D13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3A79">
        <w:rPr>
          <w:rFonts w:ascii="Times New Roman" w:eastAsia="Times New Roman" w:hAnsi="Times New Roman" w:cs="Times New Roman"/>
          <w:sz w:val="24"/>
          <w:szCs w:val="24"/>
        </w:rPr>
        <w:t>(,,</w:t>
      </w:r>
      <w:proofErr w:type="gramEnd"/>
      <w:r w:rsidRPr="00D13A79">
        <w:rPr>
          <w:rFonts w:ascii="Times New Roman" w:eastAsia="Times New Roman" w:hAnsi="Times New Roman" w:cs="Times New Roman"/>
          <w:sz w:val="24"/>
          <w:szCs w:val="24"/>
        </w:rPr>
        <w:t>Sl. list CG” br. 74/19).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3" w:name="_Toc62730566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3"/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F6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Zahtjev se podnosi isključivo putem ESJN-a.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4" w:name="_Toc416180136"/>
      <w:bookmarkStart w:id="15" w:name="_Toc508349235"/>
      <w:bookmarkStart w:id="16" w:name="_Toc62730567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BF32F5" w:rsidRPr="002B12BD" w:rsidRDefault="00BF32F5" w:rsidP="002B12B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BF32F5" w:rsidRPr="002B12BD" w:rsidRDefault="00BF32F5" w:rsidP="002B12B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BF32F5" w:rsidRPr="002B12BD" w:rsidRDefault="002B12BD" w:rsidP="002B12B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Broj: 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03/01</w:t>
      </w:r>
      <w:r w:rsidR="00860BF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-20189/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</w:p>
    <w:p w:rsidR="00BF32F5" w:rsidRPr="002B12BD" w:rsidRDefault="002B12BD" w:rsidP="002B1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Podgorica: </w:t>
      </w:r>
      <w:r w:rsidR="00860BF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29.07.</w:t>
      </w:r>
      <w:bookmarkStart w:id="17" w:name="_GoBack"/>
      <w:bookmarkEnd w:id="17"/>
      <w:r w:rsidR="00063AE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2022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da u postupku javne nabavke redni broj </w:t>
      </w:r>
      <w:r w:rsidR="00063AE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64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/22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iz Plana javne nabavke broj 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3398 od 31.01.2022. godine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za nabavku </w:t>
      </w:r>
      <w:proofErr w:type="spellStart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>skenera</w:t>
      </w:r>
      <w:proofErr w:type="spellEnd"/>
      <w:r w:rsidR="00063AE9">
        <w:rPr>
          <w:rFonts w:ascii="Times New Roman" w:hAnsi="Times New Roman" w:cs="Times New Roman"/>
          <w:sz w:val="24"/>
          <w:szCs w:val="24"/>
          <w:lang w:val="es-ES_tradnl"/>
        </w:rPr>
        <w:t xml:space="preserve"> (CT) </w:t>
      </w:r>
      <w:proofErr w:type="spellStart"/>
      <w:r w:rsidR="00063AE9">
        <w:rPr>
          <w:rFonts w:ascii="Times New Roman" w:hAnsi="Times New Roman" w:cs="Times New Roman"/>
          <w:sz w:val="24"/>
          <w:szCs w:val="24"/>
          <w:lang w:val="es-ES_tradnl"/>
        </w:rPr>
        <w:t>multislajsnog</w:t>
      </w:r>
      <w:proofErr w:type="spellEnd"/>
      <w:r w:rsidR="00063AE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>sa</w:t>
      </w:r>
      <w:proofErr w:type="spellEnd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>najmanje</w:t>
      </w:r>
      <w:proofErr w:type="spellEnd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63AE9" w:rsidRPr="0037365A">
        <w:rPr>
          <w:rFonts w:ascii="Times New Roman" w:hAnsi="Times New Roman" w:cs="Times New Roman"/>
          <w:sz w:val="24"/>
          <w:szCs w:val="24"/>
          <w:lang w:val="sr-Latn-CS"/>
        </w:rPr>
        <w:t xml:space="preserve">128 </w:t>
      </w:r>
      <w:proofErr w:type="spellStart"/>
      <w:r w:rsidR="00063AE9" w:rsidRPr="0037365A">
        <w:rPr>
          <w:rFonts w:ascii="Times New Roman" w:hAnsi="Times New Roman" w:cs="Times New Roman"/>
          <w:sz w:val="24"/>
          <w:szCs w:val="24"/>
          <w:lang w:val="es-ES_tradnl"/>
        </w:rPr>
        <w:t>slojeva</w:t>
      </w:r>
      <w:proofErr w:type="spellEnd"/>
      <w:r w:rsidR="00063AE9" w:rsidRPr="003736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063AE9" w:rsidRPr="0037365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po</w:t>
      </w:r>
      <w:proofErr w:type="spellEnd"/>
      <w:r w:rsidR="00063AE9" w:rsidRPr="0037365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063AE9" w:rsidRPr="0037365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jednoj</w:t>
      </w:r>
      <w:proofErr w:type="spellEnd"/>
      <w:r w:rsidR="00063AE9" w:rsidRPr="0037365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063AE9" w:rsidRPr="0037365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rotaciji</w:t>
      </w:r>
      <w:proofErr w:type="spellEnd"/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Ovlašćeno lice naručioca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dr Ljiljana Radulović, direktor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063AE9" w:rsidRDefault="00063AE9" w:rsidP="002B12BD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Službenik za javne nabavke 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Nisera Mekić dipl.ecc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2B12BD" w:rsidRDefault="002B12BD" w:rsidP="002B12BD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BF32F5" w:rsidRPr="002B12BD" w:rsidRDefault="00BF32F5" w:rsidP="002B12BD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2B12BD"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Rade Gardašević dipl. inž.</w:t>
      </w:r>
    </w:p>
    <w:p w:rsidR="00BF32F5" w:rsidRPr="002B12BD" w:rsidRDefault="00BF32F5" w:rsidP="002B12B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2B12BD" w:rsidRDefault="00BF32F5" w:rsidP="002B12BD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</w:t>
      </w:r>
      <w:r w:rsid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</w:t>
      </w:r>
    </w:p>
    <w:p w:rsidR="00BF32F5" w:rsidRPr="002B12BD" w:rsidRDefault="002B12BD" w:rsidP="002B12BD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="00BF32F5"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dr Saša Uskoković</w:t>
      </w:r>
    </w:p>
    <w:p w:rsidR="00BF32F5" w:rsidRPr="002B12BD" w:rsidRDefault="00BF32F5" w:rsidP="002B12B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2B12BD" w:rsidRDefault="002B12BD" w:rsidP="002B12BD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F32F5" w:rsidRPr="002B12BD" w:rsidRDefault="002B12BD" w:rsidP="002B12BD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="00BF32F5"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dr Žanka Cerović</w:t>
      </w:r>
    </w:p>
    <w:p w:rsidR="00BF32F5" w:rsidRPr="002B12BD" w:rsidRDefault="00BF32F5" w:rsidP="002B12B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2B12BD" w:rsidRDefault="002B12BD" w:rsidP="002B12BD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3AE9" w:rsidRPr="002B12BD" w:rsidRDefault="00063AE9" w:rsidP="00063AE9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Jugoslav Cvetković dipl. inž</w:t>
      </w:r>
    </w:p>
    <w:p w:rsidR="00063AE9" w:rsidRPr="002B12BD" w:rsidRDefault="00063AE9" w:rsidP="00063AE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063AE9" w:rsidRDefault="00063AE9" w:rsidP="002B12BD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3AE9" w:rsidRDefault="00063AE9" w:rsidP="002B12BD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F32F5" w:rsidRPr="002B12BD" w:rsidRDefault="002B12BD" w:rsidP="002B12BD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="00BF32F5"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="00BF32F5"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Jelena Mićanović dipl. 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pravnik</w:t>
      </w:r>
    </w:p>
    <w:p w:rsidR="00BF32F5" w:rsidRPr="002B12BD" w:rsidRDefault="00BF32F5" w:rsidP="002B12BD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063AE9" w:rsidRPr="002B12BD" w:rsidRDefault="00063AE9" w:rsidP="00063AE9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Milena Lukovac dipl. ecc</w:t>
      </w:r>
    </w:p>
    <w:p w:rsidR="00063AE9" w:rsidRPr="002B12BD" w:rsidRDefault="00063AE9" w:rsidP="00063AE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BF32F5" w:rsidRPr="002B12BD" w:rsidRDefault="00BF32F5" w:rsidP="002B12BD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iCs/>
          <w:sz w:val="24"/>
          <w:szCs w:val="24"/>
          <w:lang w:val="sr-Latn-ME"/>
        </w:rPr>
      </w:pPr>
      <w:bookmarkStart w:id="18" w:name="_Toc62730568"/>
      <w:r w:rsidRPr="002B12B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UPUTSTVO O PRAVNOM SREDSTVU</w:t>
      </w:r>
      <w:bookmarkEnd w:id="18"/>
    </w:p>
    <w:p w:rsidR="00BF32F5" w:rsidRPr="002B12BD" w:rsidRDefault="00BF32F5" w:rsidP="002B12B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BF32F5" w:rsidRPr="002B12BD" w:rsidRDefault="00BF32F5" w:rsidP="002B12B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BF32F5" w:rsidRPr="002B12BD" w:rsidRDefault="00BF32F5" w:rsidP="002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B12BD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http://www.kontrola-nabavki.me/</w:t>
        </w:r>
      </w:hyperlink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:rsidR="00BF32F5" w:rsidRPr="002B12BD" w:rsidRDefault="00BF32F5" w:rsidP="002B12BD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Predsjednik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Jelena Mićanović </w:t>
      </w: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Pr="002B12BD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 zamjenik predsjednika Nisera Mekić </w:t>
      </w: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3AE9" w:rsidRDefault="00063AE9" w:rsidP="00063AE9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063AE9" w:rsidRPr="002B12BD" w:rsidRDefault="00063AE9" w:rsidP="00063AE9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Jugoslav Cvetković dipl. inž.</w:t>
      </w:r>
    </w:p>
    <w:p w:rsidR="00063AE9" w:rsidRPr="002B12BD" w:rsidRDefault="00063AE9" w:rsidP="00063AE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3E5B6E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Pr="002B12BD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dr Saša Uskoković</w:t>
      </w:r>
    </w:p>
    <w:p w:rsidR="003E5B6E" w:rsidRDefault="003E5B6E" w:rsidP="003E5B6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Default="003E5B6E" w:rsidP="003E5B6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Pr="003E5B6E" w:rsidRDefault="003E5B6E" w:rsidP="003E5B6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dr Žanka Cerović</w:t>
      </w:r>
    </w:p>
    <w:p w:rsidR="003E5B6E" w:rsidRPr="002B12BD" w:rsidRDefault="003E5B6E" w:rsidP="003E5B6E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3E5B6E" w:rsidRDefault="003E5B6E" w:rsidP="003E5B6E">
      <w:pPr>
        <w:tabs>
          <w:tab w:val="left" w:pos="3290"/>
        </w:tabs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3E5B6E" w:rsidRPr="002B12BD" w:rsidRDefault="003E5B6E" w:rsidP="003E5B6E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Rade Gardašević</w:t>
      </w:r>
    </w:p>
    <w:p w:rsidR="003E5B6E" w:rsidRPr="002B12BD" w:rsidRDefault="003E5B6E" w:rsidP="003E5B6E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3E5B6E" w:rsidRPr="002B12BD" w:rsidRDefault="003E5B6E" w:rsidP="003E5B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063AE9" w:rsidRPr="002B12BD" w:rsidRDefault="002F6EBE" w:rsidP="00063AE9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Član komisije </w:t>
      </w:r>
      <w:r w:rsidRPr="002B12BD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Pr="002B12BD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Pr="002B12BD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 zamjenik predsjednika</w:t>
      </w:r>
      <w:r w:rsidR="00063AE9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Milena Lukovac </w:t>
      </w:r>
    </w:p>
    <w:p w:rsidR="00063AE9" w:rsidRPr="002B12BD" w:rsidRDefault="00063AE9" w:rsidP="00063AE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2B12B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D15D0B" w:rsidRDefault="00C73C1B" w:rsidP="00BF32F5"/>
    <w:sectPr w:rsidR="00D15D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1B" w:rsidRDefault="00C73C1B" w:rsidP="00BF32F5">
      <w:pPr>
        <w:spacing w:after="0" w:line="240" w:lineRule="auto"/>
      </w:pPr>
      <w:r>
        <w:separator/>
      </w:r>
    </w:p>
  </w:endnote>
  <w:endnote w:type="continuationSeparator" w:id="0">
    <w:p w:rsidR="00C73C1B" w:rsidRDefault="00C73C1B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BF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BF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1B" w:rsidRDefault="00C73C1B" w:rsidP="00BF32F5">
      <w:pPr>
        <w:spacing w:after="0" w:line="240" w:lineRule="auto"/>
      </w:pPr>
      <w:r>
        <w:separator/>
      </w:r>
    </w:p>
  </w:footnote>
  <w:footnote w:type="continuationSeparator" w:id="0">
    <w:p w:rsidR="00C73C1B" w:rsidRDefault="00C73C1B" w:rsidP="00BF32F5">
      <w:pPr>
        <w:spacing w:after="0" w:line="240" w:lineRule="auto"/>
      </w:pPr>
      <w:r>
        <w:continuationSeparator/>
      </w:r>
    </w:p>
  </w:footnote>
  <w:footnote w:id="1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BF32F5" w:rsidRPr="00367536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BF32F5" w:rsidRPr="0083641C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BF32F5" w:rsidRPr="007F2BA0" w:rsidRDefault="00BF32F5" w:rsidP="00BF32F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vrijednosti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:rsidR="00BF32F5" w:rsidRPr="002E211C" w:rsidRDefault="00BF32F5" w:rsidP="00BF32F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7483"/>
    <w:multiLevelType w:val="hybridMultilevel"/>
    <w:tmpl w:val="66EA7F7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DD69F4"/>
    <w:multiLevelType w:val="hybridMultilevel"/>
    <w:tmpl w:val="1DE06D5C"/>
    <w:lvl w:ilvl="0" w:tplc="563819A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E1877"/>
    <w:multiLevelType w:val="hybridMultilevel"/>
    <w:tmpl w:val="81B463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0150F4"/>
    <w:rsid w:val="00030D60"/>
    <w:rsid w:val="00063AE9"/>
    <w:rsid w:val="0006465C"/>
    <w:rsid w:val="00107C4D"/>
    <w:rsid w:val="00125083"/>
    <w:rsid w:val="001409E8"/>
    <w:rsid w:val="002705B7"/>
    <w:rsid w:val="002B12BD"/>
    <w:rsid w:val="002F6EBE"/>
    <w:rsid w:val="003A518F"/>
    <w:rsid w:val="003E087B"/>
    <w:rsid w:val="003E5B6E"/>
    <w:rsid w:val="00587370"/>
    <w:rsid w:val="00594C8E"/>
    <w:rsid w:val="00597D27"/>
    <w:rsid w:val="00647C9B"/>
    <w:rsid w:val="00671F56"/>
    <w:rsid w:val="00736A24"/>
    <w:rsid w:val="00770F1E"/>
    <w:rsid w:val="00777A39"/>
    <w:rsid w:val="00860BF1"/>
    <w:rsid w:val="008807F6"/>
    <w:rsid w:val="008F1530"/>
    <w:rsid w:val="00961777"/>
    <w:rsid w:val="009B6BC9"/>
    <w:rsid w:val="009F52E5"/>
    <w:rsid w:val="00A73799"/>
    <w:rsid w:val="00A86E06"/>
    <w:rsid w:val="00AC58D1"/>
    <w:rsid w:val="00B0233A"/>
    <w:rsid w:val="00B22C1E"/>
    <w:rsid w:val="00BF32F5"/>
    <w:rsid w:val="00C053CA"/>
    <w:rsid w:val="00C73C1B"/>
    <w:rsid w:val="00CD5C75"/>
    <w:rsid w:val="00D24113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9ACD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ListParagraph">
    <w:name w:val="List Paragraph"/>
    <w:basedOn w:val="Normal"/>
    <w:uiPriority w:val="34"/>
    <w:qFormat/>
    <w:rsid w:val="0073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jn.rs17</cp:lastModifiedBy>
  <cp:revision>46</cp:revision>
  <dcterms:created xsi:type="dcterms:W3CDTF">2021-02-16T06:12:00Z</dcterms:created>
  <dcterms:modified xsi:type="dcterms:W3CDTF">2022-07-29T06:23:00Z</dcterms:modified>
</cp:coreProperties>
</file>