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592530" w:rsidRPr="002C12F2" w:rsidRDefault="00F83BC2" w:rsidP="00592530">
      <w:pPr>
        <w:keepNext/>
        <w:outlineLvl w:val="1"/>
        <w:rPr>
          <w:b/>
          <w:bCs/>
          <w:lang w:val="sr-Latn-ME"/>
        </w:rPr>
      </w:pPr>
      <w:bookmarkStart w:id="0" w:name="_GoBack"/>
      <w:bookmarkEnd w:id="0"/>
      <w:r w:rsidRPr="002C12F2">
        <w:rPr>
          <w:b/>
          <w:bCs/>
          <w:lang w:val="sr-Latn-ME"/>
        </w:rPr>
        <w:t>Broj: 60-00-</w:t>
      </w:r>
      <w:r w:rsidR="002C12F2" w:rsidRPr="002C12F2">
        <w:rPr>
          <w:b/>
          <w:bCs/>
          <w:lang w:val="sr-Latn-ME"/>
        </w:rPr>
        <w:t>22974</w:t>
      </w:r>
    </w:p>
    <w:p w:rsidR="00E31E4E" w:rsidRPr="000E23B8" w:rsidRDefault="00150423" w:rsidP="00592530">
      <w:pPr>
        <w:keepNext/>
        <w:outlineLvl w:val="1"/>
        <w:rPr>
          <w:b/>
          <w:bCs/>
          <w:lang w:val="sr-Latn-ME"/>
        </w:rPr>
      </w:pPr>
      <w:r w:rsidRPr="002C12F2">
        <w:rPr>
          <w:b/>
          <w:bCs/>
          <w:lang w:val="sr-Latn-ME"/>
        </w:rPr>
        <w:t xml:space="preserve">Podgorica, </w:t>
      </w:r>
      <w:r w:rsidR="002C12F2" w:rsidRPr="002C12F2">
        <w:rPr>
          <w:b/>
          <w:bCs/>
          <w:lang w:val="sr-Latn-ME"/>
        </w:rPr>
        <w:t>27.06</w:t>
      </w:r>
      <w:r w:rsidR="00E31E4E" w:rsidRPr="002C12F2">
        <w:rPr>
          <w:b/>
          <w:bCs/>
          <w:lang w:val="sr-Latn-ME"/>
        </w:rPr>
        <w:t>.202</w:t>
      </w:r>
      <w:r w:rsidR="005C4964" w:rsidRPr="002C12F2">
        <w:rPr>
          <w:b/>
          <w:bCs/>
          <w:lang w:val="sr-Latn-ME"/>
        </w:rPr>
        <w:t>3</w:t>
      </w:r>
      <w:r w:rsidR="00E31E4E" w:rsidRPr="002C12F2">
        <w:rPr>
          <w:b/>
          <w:bCs/>
          <w:lang w:val="sr-Latn-ME"/>
        </w:rPr>
        <w:t>. godine</w:t>
      </w:r>
    </w:p>
    <w:p w:rsidR="00E31E4E" w:rsidRPr="000E23B8" w:rsidRDefault="00E31E4E" w:rsidP="00E31E4E">
      <w:pPr>
        <w:rPr>
          <w:color w:val="000000"/>
        </w:rPr>
      </w:pPr>
    </w:p>
    <w:p w:rsidR="00E31E4E" w:rsidRPr="000E23B8" w:rsidRDefault="005C4964" w:rsidP="00E31E4E">
      <w:pPr>
        <w:tabs>
          <w:tab w:val="left" w:pos="3750"/>
        </w:tabs>
        <w:jc w:val="both"/>
        <w:outlineLvl w:val="0"/>
      </w:pPr>
      <w:r w:rsidRPr="000E23B8">
        <w:t xml:space="preserve">Na osnovu člana 94 Zakona o javnim nabavkama </w:t>
      </w:r>
      <w:r w:rsidR="0061064C" w:rsidRPr="000E23B8">
        <w:t>("Službeni list Crne Gore", br. 074/19 od 30.12.2019, 003/23 od 10.01.2023, 011/23 od 27.01.2023)</w:t>
      </w:r>
      <w:r w:rsidR="00E31E4E" w:rsidRPr="000E23B8">
        <w:t>, CEDIS</w:t>
      </w:r>
      <w:r w:rsidR="0012353B">
        <w:t xml:space="preserve"> d.o.o Podgorica donosi sljedeće</w:t>
      </w:r>
      <w:r w:rsidR="00E31E4E" w:rsidRPr="000E23B8">
        <w:t xml:space="preserve">  </w:t>
      </w:r>
    </w:p>
    <w:p w:rsidR="00E31E4E" w:rsidRPr="009307BD" w:rsidRDefault="00E31E4E" w:rsidP="00E31E4E">
      <w:pPr>
        <w:tabs>
          <w:tab w:val="left" w:pos="3750"/>
        </w:tabs>
        <w:jc w:val="both"/>
        <w:outlineLvl w:val="0"/>
        <w:rPr>
          <w:sz w:val="16"/>
        </w:rPr>
      </w:pPr>
    </w:p>
    <w:p w:rsidR="00E31E4E" w:rsidRPr="000E23B8" w:rsidRDefault="0012353B" w:rsidP="00E31E4E">
      <w:pPr>
        <w:tabs>
          <w:tab w:val="left" w:pos="3750"/>
        </w:tabs>
        <w:jc w:val="center"/>
        <w:outlineLvl w:val="0"/>
        <w:rPr>
          <w:b/>
        </w:rPr>
      </w:pPr>
      <w:r>
        <w:rPr>
          <w:b/>
        </w:rPr>
        <w:t>IZMJENE I DOPUNE</w:t>
      </w:r>
    </w:p>
    <w:p w:rsidR="000E23B8" w:rsidRPr="000E23B8" w:rsidRDefault="000E23B8" w:rsidP="000E23B8">
      <w:pPr>
        <w:rPr>
          <w:b/>
          <w:color w:val="000000"/>
        </w:rPr>
      </w:pPr>
    </w:p>
    <w:p w:rsidR="009B3DA4" w:rsidRPr="007659FF" w:rsidRDefault="000E23B8" w:rsidP="009B3DA4">
      <w:pPr>
        <w:jc w:val="both"/>
        <w:rPr>
          <w:b/>
          <w:shd w:val="clear" w:color="auto" w:fill="FFFFFF"/>
        </w:rPr>
      </w:pPr>
      <w:r w:rsidRPr="00247280">
        <w:rPr>
          <w:b/>
        </w:rPr>
        <w:t xml:space="preserve">Tenderske dokumentacije </w:t>
      </w:r>
      <w:r w:rsidRPr="00247280">
        <w:rPr>
          <w:b/>
          <w:color w:val="000000" w:themeColor="text1"/>
          <w:lang w:val="sr-Latn-ME"/>
        </w:rPr>
        <w:t xml:space="preserve">br. </w:t>
      </w:r>
      <w:r w:rsidR="006C478E">
        <w:rPr>
          <w:b/>
          <w:color w:val="000000" w:themeColor="text1"/>
          <w:lang w:val="sr-Latn-ME"/>
        </w:rPr>
        <w:t>53</w:t>
      </w:r>
      <w:r w:rsidR="005735C4" w:rsidRPr="00247280">
        <w:rPr>
          <w:b/>
          <w:color w:val="000000" w:themeColor="text1"/>
          <w:lang w:val="sr-Latn-ME"/>
        </w:rPr>
        <w:t>/23</w:t>
      </w:r>
      <w:r w:rsidRPr="00247280">
        <w:rPr>
          <w:b/>
          <w:color w:val="000000"/>
          <w:lang w:val="sr-Latn-ME"/>
        </w:rPr>
        <w:t xml:space="preserve"> </w:t>
      </w:r>
      <w:r w:rsidRPr="00247280">
        <w:rPr>
          <w:b/>
          <w:color w:val="000000" w:themeColor="text1"/>
          <w:lang w:val="sr-Latn-ME"/>
        </w:rPr>
        <w:t xml:space="preserve">od </w:t>
      </w:r>
      <w:r w:rsidR="006C478E">
        <w:rPr>
          <w:b/>
          <w:lang w:val="sr-Latn-ME"/>
        </w:rPr>
        <w:t>22.06</w:t>
      </w:r>
      <w:r w:rsidR="005735C4" w:rsidRPr="00247280">
        <w:rPr>
          <w:b/>
          <w:lang w:val="sr-Latn-ME"/>
        </w:rPr>
        <w:t>.2023</w:t>
      </w:r>
      <w:r w:rsidRPr="00247280">
        <w:rPr>
          <w:b/>
          <w:lang w:val="sr-Latn-ME"/>
        </w:rPr>
        <w:t xml:space="preserve">. godine </w:t>
      </w:r>
      <w:r w:rsidRPr="00247280">
        <w:rPr>
          <w:b/>
          <w:color w:val="000000" w:themeColor="text1"/>
          <w:lang w:val="sr-Latn-ME"/>
        </w:rPr>
        <w:t xml:space="preserve">– za otvoreni postupak javne nabavke </w:t>
      </w:r>
      <w:r w:rsidR="006C478E">
        <w:rPr>
          <w:b/>
          <w:color w:val="000000" w:themeColor="text1"/>
          <w:lang w:val="sr-Latn-ME"/>
        </w:rPr>
        <w:t>roba</w:t>
      </w:r>
      <w:r w:rsidRPr="00247280">
        <w:rPr>
          <w:b/>
          <w:color w:val="000000" w:themeColor="text1"/>
          <w:lang w:val="sr-Latn-ME"/>
        </w:rPr>
        <w:t xml:space="preserve"> – </w:t>
      </w:r>
      <w:r w:rsidR="009B3DA4" w:rsidRPr="007659FF">
        <w:rPr>
          <w:b/>
          <w:shd w:val="clear" w:color="auto" w:fill="FFFFFF"/>
        </w:rPr>
        <w:t>Lična zaštitna sredstva:</w:t>
      </w:r>
    </w:p>
    <w:p w:rsidR="009B3DA4" w:rsidRPr="007659FF" w:rsidRDefault="009B3DA4" w:rsidP="009B3DA4">
      <w:pPr>
        <w:jc w:val="both"/>
        <w:rPr>
          <w:b/>
          <w:shd w:val="clear" w:color="auto" w:fill="FFFFFF"/>
        </w:rPr>
      </w:pPr>
      <w:r w:rsidRPr="007659FF">
        <w:rPr>
          <w:b/>
          <w:shd w:val="clear" w:color="auto" w:fill="FFFFFF"/>
        </w:rPr>
        <w:t>Partija 1. Teleskopski indikator napona (detektor), jednopolni;</w:t>
      </w:r>
    </w:p>
    <w:p w:rsidR="000E23B8" w:rsidRDefault="009B3DA4" w:rsidP="009B3DA4">
      <w:pPr>
        <w:jc w:val="both"/>
        <w:rPr>
          <w:b/>
          <w:shd w:val="clear" w:color="auto" w:fill="FFFFFF"/>
        </w:rPr>
      </w:pPr>
      <w:r w:rsidRPr="007659FF">
        <w:rPr>
          <w:b/>
          <w:shd w:val="clear" w:color="auto" w:fill="FFFFFF"/>
        </w:rPr>
        <w:t>Partija 2. Fazni komparater</w:t>
      </w:r>
    </w:p>
    <w:p w:rsidR="009B3DA4" w:rsidRPr="000727B0" w:rsidRDefault="009B3DA4" w:rsidP="009B3DA4">
      <w:pPr>
        <w:jc w:val="both"/>
        <w:rPr>
          <w:b/>
          <w:sz w:val="12"/>
          <w:lang w:val="sr-Latn-ME"/>
        </w:rPr>
      </w:pPr>
    </w:p>
    <w:p w:rsidR="000E23B8" w:rsidRPr="00E46A89" w:rsidRDefault="000E23B8" w:rsidP="000E23B8">
      <w:pPr>
        <w:jc w:val="both"/>
        <w:rPr>
          <w:b/>
          <w:color w:val="000000" w:themeColor="text1"/>
          <w:sz w:val="12"/>
          <w:lang w:val="sr-Latn-ME"/>
        </w:rPr>
      </w:pPr>
    </w:p>
    <w:p w:rsidR="000E23B8" w:rsidRDefault="000E23B8" w:rsidP="00EF640D">
      <w:pPr>
        <w:pStyle w:val="NoSpacing"/>
        <w:numPr>
          <w:ilvl w:val="0"/>
          <w:numId w:val="21"/>
        </w:numPr>
        <w:jc w:val="both"/>
        <w:rPr>
          <w:rFonts w:ascii="Times New Roman" w:hAnsi="Times New Roman" w:cs="Times New Roman"/>
          <w:bCs/>
          <w:sz w:val="24"/>
          <w:szCs w:val="24"/>
        </w:rPr>
      </w:pPr>
      <w:r w:rsidRPr="00EF640D">
        <w:rPr>
          <w:rFonts w:ascii="Times New Roman" w:hAnsi="Times New Roman" w:cs="Times New Roman"/>
          <w:b/>
          <w:sz w:val="24"/>
          <w:szCs w:val="24"/>
        </w:rPr>
        <w:t>Vr</w:t>
      </w:r>
      <w:r w:rsidRPr="00EF640D">
        <w:rPr>
          <w:rFonts w:ascii="Times New Roman" w:hAnsi="Times New Roman" w:cs="Times New Roman"/>
          <w:b/>
          <w:sz w:val="24"/>
          <w:szCs w:val="24"/>
          <w:lang w:val="sr-Latn-ME"/>
        </w:rPr>
        <w:t>š</w:t>
      </w:r>
      <w:r w:rsidRPr="00EF640D">
        <w:rPr>
          <w:rFonts w:ascii="Times New Roman" w:hAnsi="Times New Roman" w:cs="Times New Roman"/>
          <w:b/>
          <w:sz w:val="24"/>
          <w:szCs w:val="24"/>
        </w:rPr>
        <w:t xml:space="preserve">i se izmjena Tenderske dokumentacije na portalu cejn </w:t>
      </w:r>
      <w:r w:rsidR="00EF640D" w:rsidRPr="00EF640D">
        <w:rPr>
          <w:rFonts w:ascii="Times New Roman" w:hAnsi="Times New Roman" w:cs="Times New Roman"/>
          <w:b/>
          <w:bCs/>
          <w:caps/>
          <w:sz w:val="24"/>
          <w:szCs w:val="24"/>
        </w:rPr>
        <w:t xml:space="preserve">TEHNIČKA SPECIFIKACIJA </w:t>
      </w:r>
      <w:r w:rsidR="009307BD">
        <w:rPr>
          <w:rFonts w:ascii="Times New Roman" w:hAnsi="Times New Roman" w:cs="Times New Roman"/>
          <w:b/>
          <w:bCs/>
          <w:caps/>
          <w:sz w:val="24"/>
          <w:szCs w:val="24"/>
        </w:rPr>
        <w:t xml:space="preserve">PREDMETA </w:t>
      </w:r>
      <w:r w:rsidRPr="00EF640D">
        <w:rPr>
          <w:rFonts w:ascii="Times New Roman" w:hAnsi="Times New Roman" w:cs="Times New Roman"/>
          <w:b/>
          <w:bCs/>
          <w:caps/>
          <w:sz w:val="24"/>
          <w:szCs w:val="24"/>
        </w:rPr>
        <w:t xml:space="preserve">NABAVKE </w:t>
      </w:r>
      <w:r w:rsidRPr="00EF640D">
        <w:rPr>
          <w:rFonts w:ascii="Times New Roman" w:hAnsi="Times New Roman" w:cs="Times New Roman"/>
          <w:b/>
          <w:bCs/>
          <w:sz w:val="24"/>
          <w:szCs w:val="24"/>
        </w:rPr>
        <w:t xml:space="preserve">u dijelu </w:t>
      </w:r>
      <w:r w:rsidRPr="00EF640D">
        <w:rPr>
          <w:rFonts w:ascii="Times New Roman" w:hAnsi="Times New Roman" w:cs="Times New Roman"/>
          <w:b/>
          <w:caps/>
          <w:sz w:val="24"/>
          <w:szCs w:val="24"/>
          <w:shd w:val="clear" w:color="auto" w:fill="FFFFFF"/>
        </w:rPr>
        <w:t>BITNE KARAKTERISTIKE PREDMETA NABAVKE</w:t>
      </w:r>
      <w:r w:rsidRPr="00EF640D">
        <w:rPr>
          <w:rFonts w:ascii="Times New Roman" w:hAnsi="Times New Roman" w:cs="Times New Roman"/>
          <w:b/>
          <w:bCs/>
          <w:sz w:val="24"/>
          <w:szCs w:val="24"/>
          <w:lang w:val="sr-Latn-ME"/>
        </w:rPr>
        <w:t xml:space="preserve"> </w:t>
      </w:r>
      <w:r w:rsidR="009B3DA4">
        <w:rPr>
          <w:rFonts w:ascii="Times New Roman" w:hAnsi="Times New Roman" w:cs="Times New Roman"/>
          <w:b/>
          <w:bCs/>
          <w:sz w:val="24"/>
          <w:szCs w:val="24"/>
          <w:lang w:val="sr-Latn-ME"/>
        </w:rPr>
        <w:t xml:space="preserve">za Partiju 1 i Partiju 2 </w:t>
      </w:r>
      <w:r w:rsidR="00C53332" w:rsidRPr="00C53332">
        <w:rPr>
          <w:rFonts w:ascii="Times New Roman" w:hAnsi="Times New Roman" w:cs="Times New Roman"/>
          <w:bCs/>
          <w:sz w:val="24"/>
          <w:szCs w:val="24"/>
          <w:lang w:val="sr-Latn-ME"/>
        </w:rPr>
        <w:t xml:space="preserve">na </w:t>
      </w:r>
      <w:r w:rsidR="008B3DD0">
        <w:rPr>
          <w:rFonts w:ascii="Times New Roman" w:hAnsi="Times New Roman" w:cs="Times New Roman"/>
          <w:bCs/>
          <w:sz w:val="24"/>
          <w:szCs w:val="24"/>
          <w:lang w:val="sr-Latn-ME"/>
        </w:rPr>
        <w:t xml:space="preserve">način </w:t>
      </w:r>
      <w:r w:rsidR="00B01B98">
        <w:rPr>
          <w:rFonts w:ascii="Times New Roman" w:hAnsi="Times New Roman" w:cs="Times New Roman"/>
          <w:bCs/>
          <w:sz w:val="24"/>
          <w:szCs w:val="24"/>
          <w:lang w:val="sr-Latn-ME"/>
        </w:rPr>
        <w:t>što stavke koje su glasile</w:t>
      </w:r>
      <w:r w:rsidRPr="00C53332">
        <w:rPr>
          <w:rFonts w:ascii="Times New Roman" w:hAnsi="Times New Roman" w:cs="Times New Roman"/>
          <w:bCs/>
          <w:sz w:val="24"/>
          <w:szCs w:val="24"/>
        </w:rPr>
        <w:t>:</w:t>
      </w:r>
    </w:p>
    <w:p w:rsidR="00CB5EC7" w:rsidRDefault="00CB5EC7" w:rsidP="00CB5EC7">
      <w:pPr>
        <w:pStyle w:val="NoSpacing"/>
        <w:jc w:val="both"/>
        <w:rPr>
          <w:rFonts w:ascii="Times New Roman" w:hAnsi="Times New Roman" w:cs="Times New Roman"/>
          <w:bCs/>
          <w:sz w:val="24"/>
          <w:szCs w:val="24"/>
        </w:rPr>
      </w:pPr>
    </w:p>
    <w:p w:rsidR="00CB5EC7" w:rsidRPr="003C3FCC" w:rsidRDefault="00CB5EC7" w:rsidP="00CB5EC7">
      <w:pPr>
        <w:pStyle w:val="NoSpacing"/>
        <w:jc w:val="both"/>
        <w:rPr>
          <w:rFonts w:ascii="Times New Roman" w:hAnsi="Times New Roman" w:cs="Times New Roman"/>
          <w:b/>
          <w:bCs/>
          <w:sz w:val="24"/>
          <w:szCs w:val="24"/>
          <w:u w:val="single"/>
          <w:lang w:val="sr-Latn-ME"/>
        </w:rPr>
      </w:pPr>
      <w:r w:rsidRPr="003C3FCC">
        <w:rPr>
          <w:rFonts w:ascii="Times New Roman" w:hAnsi="Times New Roman" w:cs="Times New Roman"/>
          <w:b/>
          <w:bCs/>
          <w:sz w:val="24"/>
          <w:szCs w:val="24"/>
          <w:u w:val="single"/>
          <w:lang w:val="sr-Latn-ME"/>
        </w:rPr>
        <w:t>Partija 1. Teleskopski indikator napona (detektor), jednopolni</w:t>
      </w:r>
    </w:p>
    <w:p w:rsidR="00CB5EC7" w:rsidRPr="00577E77" w:rsidRDefault="00CB5EC7" w:rsidP="00CB5EC7">
      <w:pPr>
        <w:pStyle w:val="NoSpacing"/>
        <w:jc w:val="both"/>
        <w:rPr>
          <w:rFonts w:ascii="Times New Roman" w:hAnsi="Times New Roman" w:cs="Times New Roman"/>
          <w:bCs/>
          <w:sz w:val="24"/>
          <w:szCs w:val="24"/>
          <w:lang w:val="sr-Latn-ME"/>
        </w:rPr>
      </w:pPr>
    </w:p>
    <w:p w:rsidR="00CB5EC7" w:rsidRPr="00577E77" w:rsidRDefault="00CB5EC7" w:rsidP="00CB5EC7">
      <w:pPr>
        <w:pStyle w:val="NoSpacing"/>
        <w:jc w:val="both"/>
        <w:rPr>
          <w:rFonts w:ascii="Times New Roman" w:hAnsi="Times New Roman" w:cs="Times New Roman"/>
          <w:bCs/>
          <w:sz w:val="24"/>
          <w:szCs w:val="24"/>
          <w:lang w:val="sr-Latn-ME"/>
        </w:rPr>
      </w:pPr>
      <w:r w:rsidRPr="00577E77">
        <w:rPr>
          <w:rFonts w:ascii="Times New Roman" w:hAnsi="Times New Roman" w:cs="Times New Roman"/>
          <w:b/>
          <w:bCs/>
          <w:sz w:val="24"/>
          <w:szCs w:val="24"/>
          <w:lang w:val="sr-Latn-ME"/>
        </w:rPr>
        <w:t>Stavka 1:</w:t>
      </w:r>
      <w:r w:rsidRPr="00577E77">
        <w:rPr>
          <w:rFonts w:ascii="Times New Roman" w:hAnsi="Times New Roman" w:cs="Times New Roman"/>
          <w:bCs/>
          <w:sz w:val="24"/>
          <w:szCs w:val="24"/>
          <w:lang w:val="sr-Latn-ME"/>
        </w:rPr>
        <w:t xml:space="preserve"> Indikator treba da detektuje prisustvo napona u postrojenjima i na prenosnim vodovima nominalnog napona 6-10kV. U nominalnom naponskom opsegu, prag reagovanja treba da zadovoljava relaciju 0,10Unmax &lt; Ut &lt; 0,45Unmin. Indikator je teleskopski sa indikacionom glavom, dužine u sklopljenom stanju do 0,9m, maksimalne radne dužine - razvučen od 1,2 m do 1,3 m. Maksimalne težine do 1kg. Indikator mora imati baterijsko napajanje (baterija od 9V, alkalna - 6 LR 61). Teleskopska izolaciona motka mora biti izrađena od termoplastičnih materijala odgovarajućih dielektričnih i mehaničkih osobina i graničnikom rukohvata – Ø80-90mm. Dužina ručke detektora ne smije biti manja od 115mm, a visina graničnika za ruke, ne manja od 20mm. Indikator se koristi za unutrašnju i spoljašnju upotrebu i mora u pogledu indikacije ispuniti sledeće zahteve: -Indikacija napona je zvučna (piezo zujalica) i svjetlosna (crvene LED diode). -Indikator napona, na glavi mora imati ugrađen test taster za samotestiranje funkcionalnosti svjetlosne i zvučne signalizacije, prije upotrebe. Nakon testa, ispravan rad (spreman za upotrebu), pokazuje jedna zelena LED dioda. -Indikator mora da reaguje pri dodiru visokog napona, odmah – i bez testa. -Indikator pripada grupi III. -Indikator je kategorije L, i klimatske kategorije N. -Indikaciona glava mora imati na vrhu obrtnu kontakt viljušku od INOX materijala, „V“ oblika, za kontakt sa vodom visokog napona. Indikator, na odgovarajućem mjestu, mora imati crvenu naljepnicu – „Limit mark“. Indikaciona glava mora imati zglobnu vezu sa izolacionom motkom, za moguće zakretanje u odnosu na njenu osu. Mora biti upakovan u torbu koja ga štiti od mehaničkih oštećenja prilikom transporta i skladištenja. Torba mora posjedovati remen za nošenje. Indikator mora biti izrađen prema standardu MEST IEC EN 61243-1 ili "ekvivalent" i mora posjedovati izveštaj o tipskom ispitivanju, izdat od akreditovanog tijela ne stariji od godinu dana. Indikator mora posjedovati i Sertifikat o usaglašenosti sa 10 kom traženim standardom, koji izdaje proizvođač. Indikator mora imati uputstvo za upotrebu. Napomena: - za svaki komad opisane opreme, koja podleže periodičnom ispitivanju, izabrani ponuđač prilikom isporuke prilaže izveštaj o ispitivanju koji je izdat od strane akreditovane ustanove. - predmetni izvještaj ne smije biti stariji od 12 mjeseci od dana isporuke.</w:t>
      </w:r>
    </w:p>
    <w:p w:rsidR="00577E77" w:rsidRPr="00577E77" w:rsidRDefault="00577E77" w:rsidP="00CB5EC7">
      <w:pPr>
        <w:pStyle w:val="NoSpacing"/>
        <w:jc w:val="both"/>
        <w:rPr>
          <w:rFonts w:ascii="Times New Roman" w:hAnsi="Times New Roman" w:cs="Times New Roman"/>
          <w:bCs/>
          <w:sz w:val="24"/>
          <w:szCs w:val="24"/>
          <w:lang w:val="sr-Latn-ME"/>
        </w:rPr>
      </w:pPr>
    </w:p>
    <w:p w:rsidR="00577E77" w:rsidRPr="00577E77" w:rsidRDefault="00577E77" w:rsidP="00CB5EC7">
      <w:pPr>
        <w:pStyle w:val="NoSpacing"/>
        <w:jc w:val="both"/>
        <w:rPr>
          <w:rFonts w:ascii="Times New Roman" w:hAnsi="Times New Roman" w:cs="Times New Roman"/>
          <w:bCs/>
          <w:sz w:val="24"/>
          <w:szCs w:val="24"/>
          <w:lang w:val="sr-Latn-ME"/>
        </w:rPr>
      </w:pPr>
      <w:r w:rsidRPr="00577E77">
        <w:rPr>
          <w:rFonts w:ascii="Times New Roman" w:hAnsi="Times New Roman" w:cs="Times New Roman"/>
          <w:b/>
          <w:bCs/>
          <w:sz w:val="24"/>
          <w:szCs w:val="24"/>
          <w:lang w:val="sr-Latn-ME"/>
        </w:rPr>
        <w:lastRenderedPageBreak/>
        <w:t>Stavka 2:</w:t>
      </w:r>
      <w:r w:rsidRPr="00577E77">
        <w:rPr>
          <w:rFonts w:ascii="Times New Roman" w:hAnsi="Times New Roman" w:cs="Times New Roman"/>
          <w:bCs/>
          <w:sz w:val="24"/>
          <w:szCs w:val="24"/>
          <w:lang w:val="sr-Latn-ME"/>
        </w:rPr>
        <w:t xml:space="preserve"> Indikator treba da detektuje prisustvo napona u postrojenjima i na prenosnim vodovima nominalnog napona 10-35kV. U nominalnom naponskom opsegu, prag reagovanja treba da zadovoljava relaciju 0,10Unmax &lt; Ut &lt; 0,45Unmin. Indikator je teleskopski sa indikacionom glavom, dužine u sklopljenom stanju do 0,9m, maksimalne radne dužine - razvučen od 1,2 m do 1,3 m. Maksimalne težine do 1kg. Indikator mora imati baterijsko napajanje (baterija od 9V, alkalna - 6 LR 61). Teleskopska izolaciona motka mora biti izrađena od termoplastičnih materijala odgovarajućih dielektričnih i mehaničkih osobina i graničnikom rukohvata – Ø80-90mm. Dužina ručke detektora ne smije biti manja od 115mm, a visina graničnika za ruke, ne manja od 20mm. Indikator se koristi za unutrašnju i spoljašnju upotrebu i mora u pogledu indikacije ispuniti sledeće zahteve: -Indikacija napona je zvučna (piezo zujalica) i svjetlosna (crvene LED diode). -Indikator napona, na glavi mora imati ugrađen test taster za samotestiranje funkcionalnosti svjetlosne i zvučne signalizacije, prije upotrebe. Nakon testa, ispravan rad (spreman za upotrebu), pokazuje jedna zelena LED dioda. -Indikator mora da reaguje pri dodiru visokog napona, odmah – i bez testa. -Indikator pripada grupi III. -Indikator je kategorije L, i klimatske kategorije N. -Indikaciona glava mora imati na vrhu obrtnu kontakt viljušku od INOX materijala, „V“ oblika, za kontakt sa vodom visokog napona. Indikator, na odgovarajućem mjestu, mora imati crvenu naljepnicu – „Limit mark“. Indikaciona glava mora imati zglobnu vezu sa izolacionom motkom, za moguće zakretanje u odnosu na njenu osu. Mora biti upakovan u torbu koja ga štiti od mehaničkih oštećenja prilikom transporta i skladištenja. Torba mora posjedovati remen za nošenje. Indikator mora biti izrađen prema standardu MEST IEC EN 61243-1 ili "ekvivalent" i mora posjedovati izveštaj o tipskom ispitivanju, 40 kom izdat od akreditovanog tijela ne stariji od godinu dana. Indikator mora posjedovati i Sertifikat o usaglašenosti sa traženim standardom, koji izdaje proizvođač. Indikator mora imati uputstvo za upotrebu. Napomena: - za svaki komad opisane opreme, koja podleže periodičnom ispitivanju, izabrani ponuđač prilikom isporuke prilaže izveštaj o ispitivanju koji je izdat od strane akreditovane ustanove. - predmetni izvještaj ne smije biti stariji od 12 mjeseci od dana isporuke.</w:t>
      </w:r>
    </w:p>
    <w:p w:rsidR="005F4CCE" w:rsidRPr="005F4CCE" w:rsidRDefault="005F4CCE" w:rsidP="00465A1B">
      <w:pPr>
        <w:spacing w:after="135"/>
        <w:jc w:val="both"/>
        <w:rPr>
          <w:b/>
          <w:sz w:val="12"/>
        </w:rPr>
      </w:pPr>
    </w:p>
    <w:p w:rsidR="000E23B8" w:rsidRDefault="000E23B8" w:rsidP="000E23B8">
      <w:pPr>
        <w:autoSpaceDE w:val="0"/>
        <w:autoSpaceDN w:val="0"/>
        <w:adjustRightInd w:val="0"/>
        <w:jc w:val="both"/>
        <w:rPr>
          <w:b/>
        </w:rPr>
      </w:pPr>
      <w:r w:rsidRPr="00732E37">
        <w:rPr>
          <w:b/>
        </w:rPr>
        <w:t>Nakon i</w:t>
      </w:r>
      <w:r w:rsidRPr="00732E37">
        <w:rPr>
          <w:b/>
          <w:lang w:val="sr-Latn-ME"/>
        </w:rPr>
        <w:t>z</w:t>
      </w:r>
      <w:r>
        <w:rPr>
          <w:b/>
        </w:rPr>
        <w:t>mjene ove stavke glase</w:t>
      </w:r>
      <w:r w:rsidRPr="00732E37">
        <w:rPr>
          <w:b/>
        </w:rPr>
        <w:t>:</w:t>
      </w:r>
    </w:p>
    <w:p w:rsidR="00B73B74" w:rsidRDefault="00B73B74" w:rsidP="000E23B8">
      <w:pPr>
        <w:autoSpaceDE w:val="0"/>
        <w:autoSpaceDN w:val="0"/>
        <w:adjustRightInd w:val="0"/>
        <w:jc w:val="both"/>
        <w:rPr>
          <w:b/>
        </w:rPr>
      </w:pPr>
    </w:p>
    <w:p w:rsidR="003C3FCC" w:rsidRPr="00577E77" w:rsidRDefault="003C3FCC" w:rsidP="003C3FCC">
      <w:pPr>
        <w:pStyle w:val="NoSpacing"/>
        <w:jc w:val="both"/>
        <w:rPr>
          <w:rFonts w:ascii="Times New Roman" w:hAnsi="Times New Roman" w:cs="Times New Roman"/>
          <w:bCs/>
          <w:sz w:val="24"/>
          <w:szCs w:val="24"/>
          <w:lang w:val="sr-Latn-ME"/>
        </w:rPr>
      </w:pPr>
      <w:r w:rsidRPr="00577E77">
        <w:rPr>
          <w:rFonts w:ascii="Times New Roman" w:hAnsi="Times New Roman" w:cs="Times New Roman"/>
          <w:b/>
          <w:bCs/>
          <w:sz w:val="24"/>
          <w:szCs w:val="24"/>
          <w:lang w:val="sr-Latn-ME"/>
        </w:rPr>
        <w:t>Stavka 1:</w:t>
      </w:r>
      <w:r w:rsidRPr="00577E77">
        <w:rPr>
          <w:rFonts w:ascii="Times New Roman" w:hAnsi="Times New Roman" w:cs="Times New Roman"/>
          <w:bCs/>
          <w:sz w:val="24"/>
          <w:szCs w:val="24"/>
          <w:lang w:val="sr-Latn-ME"/>
        </w:rPr>
        <w:t xml:space="preserve"> Indikator treba da detektuje prisustvo napona u postrojenjima i na prenosnim vodovima nominalnog napona 6-10kV. U nominalnom naponskom opsegu, prag reagovanja treba da zadovoljava relaciju 0,10Unmax &lt; Ut &lt; 0,45Unmin. Indikator je teleskopski sa indikacionom glavom, dužine u sklopljenom stanju do 0,9m, maksimalne radne dužine - razvučen od 1,2 m do 1,3 m. Maksimalne težine do 1kg. Indikator mora imati baterijsko napajanje (baterija od 9V, alkalna - 6 LR 61). Teleskopska izolaciona motka mora biti izrađena od termoplastičnih materijala odgovarajućih dielektričnih i mehaničkih osobina i graničnikom rukohvata – Ø80-90mm. Dužina ručke detektora ne smije biti manja od 115mm, a visina graničnika za ruke, ne manja od 20mm. Indikator se koristi za unutrašnju i spoljašnju upotrebu i mora u pogledu indikacije ispuniti sledeće zahteve: -Indikacija napona je zvučna (piezo zujalica) i svjetlosna (crvene LED diode). -Indikator napona, na glavi mora imati ugrađen test taster za samotestiranje funkcionalnosti svjetlosne i zvučne signalizacije, prije upotrebe. Nakon testa, ispravan rad (spreman za upotrebu), pokazuje jedna zelena LED dioda. -Indikator mora da reaguje pri dodiru visokog napona, odmah – i bez testa. -Indikator pripada grupi III. -Indikator je kategorije L, i klimatske kategorije N. -Indikaciona glava mora imati na vrhu obrtnu kontakt viljušku od INOX materijala, „V“ oblika, za kontakt sa vodom visokog napona. Indikator, na odgovarajućem mjestu, mora imati crvenu naljepnicu – „Limit mark“. Indikaciona glava mora imati zglobnu vezu sa izolacionom motkom, za moguće zakretanje u odnosu na njenu osu. Mora biti upakovan u torbu koja ga štiti od mehaničkih oštećenja prilikom transporta i skladištenja. Torba mora posjedovati remen za nošenje. Indikator mora biti izrađen </w:t>
      </w:r>
      <w:r w:rsidRPr="00577E77">
        <w:rPr>
          <w:rFonts w:ascii="Times New Roman" w:hAnsi="Times New Roman" w:cs="Times New Roman"/>
          <w:bCs/>
          <w:sz w:val="24"/>
          <w:szCs w:val="24"/>
          <w:lang w:val="sr-Latn-ME"/>
        </w:rPr>
        <w:lastRenderedPageBreak/>
        <w:t xml:space="preserve">prema standardu MEST IEC EN 61243-1 ili "ekvivalent" i mora posjedovati izveštaj o tipskom ispitivanju, izdat od akreditovanog tijela ne stariji od godinu dana. Indikator mora posjedovati i Sertifikat o usaglašenosti sa </w:t>
      </w:r>
      <w:r w:rsidRPr="00DF1DEC">
        <w:rPr>
          <w:rFonts w:ascii="Times New Roman" w:hAnsi="Times New Roman" w:cs="Times New Roman"/>
          <w:bCs/>
          <w:strike/>
          <w:color w:val="FF0000"/>
          <w:sz w:val="24"/>
          <w:szCs w:val="24"/>
          <w:lang w:val="sr-Latn-ME"/>
        </w:rPr>
        <w:t>10 kom</w:t>
      </w:r>
      <w:r w:rsidRPr="00DF1DEC">
        <w:rPr>
          <w:rFonts w:ascii="Times New Roman" w:hAnsi="Times New Roman" w:cs="Times New Roman"/>
          <w:bCs/>
          <w:color w:val="FF0000"/>
          <w:sz w:val="24"/>
          <w:szCs w:val="24"/>
          <w:lang w:val="sr-Latn-ME"/>
        </w:rPr>
        <w:t xml:space="preserve"> </w:t>
      </w:r>
      <w:r w:rsidRPr="00577E77">
        <w:rPr>
          <w:rFonts w:ascii="Times New Roman" w:hAnsi="Times New Roman" w:cs="Times New Roman"/>
          <w:bCs/>
          <w:sz w:val="24"/>
          <w:szCs w:val="24"/>
          <w:lang w:val="sr-Latn-ME"/>
        </w:rPr>
        <w:t>traženim standardom, koji izdaje proizvođač. Indikator mora imati uputstvo za upotrebu. Napomena: - za svaki komad opisane opreme, koja podleže periodičnom ispitivanju, izabrani ponuđač prilikom isporuke prilaže izveštaj o ispitivanju koji je izdat od strane akreditovane ustanove. - predmetni izvještaj ne smije biti stariji od 12 mjeseci od dana isporuke.</w:t>
      </w:r>
    </w:p>
    <w:p w:rsidR="003C3FCC" w:rsidRPr="00577E77" w:rsidRDefault="003C3FCC" w:rsidP="003C3FCC">
      <w:pPr>
        <w:pStyle w:val="NoSpacing"/>
        <w:jc w:val="both"/>
        <w:rPr>
          <w:rFonts w:ascii="Times New Roman" w:hAnsi="Times New Roman" w:cs="Times New Roman"/>
          <w:bCs/>
          <w:sz w:val="24"/>
          <w:szCs w:val="24"/>
          <w:lang w:val="sr-Latn-ME"/>
        </w:rPr>
      </w:pPr>
    </w:p>
    <w:p w:rsidR="003C3FCC" w:rsidRPr="00577E77" w:rsidRDefault="003C3FCC" w:rsidP="003C3FCC">
      <w:pPr>
        <w:pStyle w:val="NoSpacing"/>
        <w:jc w:val="both"/>
        <w:rPr>
          <w:rFonts w:ascii="Times New Roman" w:hAnsi="Times New Roman" w:cs="Times New Roman"/>
          <w:bCs/>
          <w:sz w:val="24"/>
          <w:szCs w:val="24"/>
          <w:lang w:val="sr-Latn-ME"/>
        </w:rPr>
      </w:pPr>
      <w:r w:rsidRPr="00577E77">
        <w:rPr>
          <w:rFonts w:ascii="Times New Roman" w:hAnsi="Times New Roman" w:cs="Times New Roman"/>
          <w:b/>
          <w:bCs/>
          <w:sz w:val="24"/>
          <w:szCs w:val="24"/>
          <w:lang w:val="sr-Latn-ME"/>
        </w:rPr>
        <w:t>Stavka 2:</w:t>
      </w:r>
      <w:r w:rsidRPr="00577E77">
        <w:rPr>
          <w:rFonts w:ascii="Times New Roman" w:hAnsi="Times New Roman" w:cs="Times New Roman"/>
          <w:bCs/>
          <w:sz w:val="24"/>
          <w:szCs w:val="24"/>
          <w:lang w:val="sr-Latn-ME"/>
        </w:rPr>
        <w:t xml:space="preserve"> Indikator treba da detektuje prisustvo napona u postrojenjima i na prenosnim vodovima nominalnog napona 10-35kV. U nominalnom naponskom opsegu, prag reagovanja treba da zadovoljava relaciju 0,10Unmax &lt; Ut &lt; 0,45Unmin. Indikator je teleskopski sa indikacionom glavom, dužine u sklopljenom stanju do 0,9m, maksimalne radne dužine - razvučen od 1,2 m do 1,3 m. Maksimalne težine do 1kg. Indikator mora imati baterijsko napajanje (baterija od 9V, alkalna - 6 LR 61). Teleskopska izolaciona motka mora biti izrađena od termoplastičnih materijala odgovarajućih dielektričnih i mehaničkih osobina i graničnikom rukohvata – Ø80-90mm. Dužina ručke detektora ne smije biti manja od 115mm, a visina graničnika za ruke, ne manja od 20mm. Indikator se koristi za unutrašnju i spoljašnju upotrebu i mora u pogledu indikacije ispuniti sledeće zahteve: -Indikacija napona je zvučna (piezo zujalica) i svjetlosna (crvene LED diode). -Indikator napona, na glavi mora imati ugrađen test taster za samotestiranje funkcionalnosti svjetlosne i zvučne signalizacije, prije upotrebe. Nakon testa, ispravan rad (spreman za upotrebu), pokazuje jedna zelena LED dioda. -Indikator mora da reaguje pri dodiru visokog napona, odmah – i bez testa. -Indikator pripada grupi III. -Indikator je kategorije L, i klimatske kategorije N. -Indikaciona glava mora imati na vrhu obrtnu kontakt viljušku od INOX materijala, „V“ oblika, za kontakt sa vodom visokog napona. Indikator, na odgovarajućem mjestu, mora imati crvenu naljepnicu – „Limit mark“. Indikaciona glava mora imati zglobnu vezu sa izolacionom motkom, za moguće zakretanje u odnosu na njenu osu. Mora biti upakovan u torbu koja ga štiti od mehaničkih oštećenja prilikom transporta i skladištenja. Torba mora posjedovati remen za nošenje. Indikator mora biti izrađen prema standardu MEST IEC EN 61243-1 ili "ekvivalent" i mora posjedovati izveštaj o tipskom ispitivanju, </w:t>
      </w:r>
      <w:r w:rsidRPr="00DF1DEC">
        <w:rPr>
          <w:rFonts w:ascii="Times New Roman" w:hAnsi="Times New Roman" w:cs="Times New Roman"/>
          <w:bCs/>
          <w:strike/>
          <w:color w:val="FF0000"/>
          <w:sz w:val="24"/>
          <w:szCs w:val="24"/>
          <w:lang w:val="sr-Latn-ME"/>
        </w:rPr>
        <w:t>40 kom</w:t>
      </w:r>
      <w:r w:rsidRPr="00DF1DEC">
        <w:rPr>
          <w:rFonts w:ascii="Times New Roman" w:hAnsi="Times New Roman" w:cs="Times New Roman"/>
          <w:bCs/>
          <w:color w:val="FF0000"/>
          <w:sz w:val="24"/>
          <w:szCs w:val="24"/>
          <w:lang w:val="sr-Latn-ME"/>
        </w:rPr>
        <w:t xml:space="preserve"> </w:t>
      </w:r>
      <w:r w:rsidRPr="00577E77">
        <w:rPr>
          <w:rFonts w:ascii="Times New Roman" w:hAnsi="Times New Roman" w:cs="Times New Roman"/>
          <w:bCs/>
          <w:sz w:val="24"/>
          <w:szCs w:val="24"/>
          <w:lang w:val="sr-Latn-ME"/>
        </w:rPr>
        <w:t xml:space="preserve">izdat od akreditovanog tijela ne stariji od godinu dana. Indikator mora posjedovati i Sertifikat o usaglašenosti sa traženim standardom, koji izdaje proizvođač. Indikator mora imati uputstvo za upotrebu. Napomena: - za svaki komad opisane opreme, koja podleže periodičnom ispitivanju, izabrani ponuđač prilikom isporuke prilaže izveštaj o ispitivanju koji je izdat </w:t>
      </w:r>
      <w:r w:rsidR="009D5B37">
        <w:rPr>
          <w:rFonts w:ascii="Times New Roman" w:hAnsi="Times New Roman" w:cs="Times New Roman"/>
          <w:bCs/>
          <w:sz w:val="24"/>
          <w:szCs w:val="24"/>
          <w:lang w:val="sr-Latn-ME"/>
        </w:rPr>
        <w:t>od strane akreditovane ustanove</w:t>
      </w:r>
      <w:r w:rsidRPr="00577E77">
        <w:rPr>
          <w:rFonts w:ascii="Times New Roman" w:hAnsi="Times New Roman" w:cs="Times New Roman"/>
          <w:bCs/>
          <w:sz w:val="24"/>
          <w:szCs w:val="24"/>
          <w:lang w:val="sr-Latn-ME"/>
        </w:rPr>
        <w:t xml:space="preserve"> - predmetni izvještaj ne smije biti stariji od 12 mjeseci od dana isporuke.</w:t>
      </w:r>
    </w:p>
    <w:p w:rsidR="000E23B8" w:rsidRDefault="000E23B8" w:rsidP="00A0340E">
      <w:pPr>
        <w:pStyle w:val="NoSpacing"/>
        <w:jc w:val="both"/>
        <w:rPr>
          <w:color w:val="FF0000"/>
        </w:rPr>
      </w:pPr>
    </w:p>
    <w:p w:rsidR="00780BEC" w:rsidRPr="0063018A" w:rsidRDefault="0063018A" w:rsidP="00A0340E">
      <w:pPr>
        <w:pStyle w:val="NoSpacing"/>
        <w:jc w:val="both"/>
        <w:rPr>
          <w:rFonts w:ascii="Times New Roman" w:hAnsi="Times New Roman" w:cs="Times New Roman"/>
          <w:b/>
          <w:sz w:val="24"/>
          <w:szCs w:val="24"/>
          <w:u w:val="single"/>
        </w:rPr>
      </w:pPr>
      <w:r w:rsidRPr="0063018A">
        <w:rPr>
          <w:rFonts w:ascii="Times New Roman" w:hAnsi="Times New Roman" w:cs="Times New Roman"/>
          <w:b/>
          <w:sz w:val="24"/>
          <w:szCs w:val="24"/>
          <w:u w:val="single"/>
        </w:rPr>
        <w:t>Partija 2. Fazni komparater</w:t>
      </w:r>
    </w:p>
    <w:p w:rsidR="00780BEC" w:rsidRDefault="00780BEC" w:rsidP="00A0340E">
      <w:pPr>
        <w:pStyle w:val="NoSpacing"/>
        <w:jc w:val="both"/>
        <w:rPr>
          <w:color w:val="FF0000"/>
        </w:rPr>
      </w:pPr>
    </w:p>
    <w:p w:rsidR="00780BEC" w:rsidRPr="000F2A96" w:rsidRDefault="00105FFA" w:rsidP="00A0340E">
      <w:pPr>
        <w:pStyle w:val="NoSpacing"/>
        <w:jc w:val="both"/>
        <w:rPr>
          <w:rFonts w:ascii="Times New Roman" w:hAnsi="Times New Roman" w:cs="Times New Roman"/>
          <w:sz w:val="24"/>
          <w:szCs w:val="24"/>
        </w:rPr>
      </w:pPr>
      <w:r w:rsidRPr="000F2A96">
        <w:rPr>
          <w:rFonts w:ascii="Times New Roman" w:hAnsi="Times New Roman" w:cs="Times New Roman"/>
          <w:b/>
          <w:sz w:val="24"/>
          <w:szCs w:val="24"/>
        </w:rPr>
        <w:t>Stavka 1:</w:t>
      </w:r>
      <w:r w:rsidRPr="000F2A96">
        <w:rPr>
          <w:rFonts w:ascii="Times New Roman" w:hAnsi="Times New Roman" w:cs="Times New Roman"/>
          <w:sz w:val="24"/>
          <w:szCs w:val="24"/>
        </w:rPr>
        <w:t xml:space="preserve"> Komparater je za fazno poređenje u višefaznim postrojenjima i vodovima nominalnog napona 6-35 kV. Komparater posjeduje izolacione ručke sa indikacionom glavom (dužine min 0,65m) i odvojive kontaktne elektrode (dužine min 0,55m). Dužina u sklopljenom stanju je min 1,2m. Komparater mora imati baterijsko napajanje (baterija od 9V, alkalna - 6 LR 61). Izolacioni djelovi moraju biti izrađeni od termoplastičnih materijala odgovarajućih dielektričnih i mehaničkih osobina i sa graničnicima rukohvata – Ø80-90mm. Dužina ručke komparatera ne smije biti manja od 115mm, a visina graničnika za ruke, ne manja od 20mm. Indikator se koristi za unutrašnju i spoljašnju upotrebu i u pogledu indikacije, mora ispuniti sledeće zahteve: -Indikacija faznog odnosa je zvučna (piezo zujalica) i svjetlosna (crvene LED diode). -Komparater na glavi mora imati ugrađen test taster za ispitivanje funkcionalnosti svjetlosne i zvučne signalizacije, prije upotrebe. Nakon testa, ispravan rad pokazuje jedna zelena LED dioda. -Komparater mora da reaguje pri dodiru visokog napona, odmah – i bez </w:t>
      </w:r>
      <w:r w:rsidRPr="000F2A96">
        <w:rPr>
          <w:rFonts w:ascii="Times New Roman" w:hAnsi="Times New Roman" w:cs="Times New Roman"/>
          <w:sz w:val="24"/>
          <w:szCs w:val="24"/>
        </w:rPr>
        <w:lastRenderedPageBreak/>
        <w:t>testa. -Komparater je klase B, i klimatske kategorije N. -Kontaktne elektrode moraju imati na vrhu obrtnu kontakt viljušku od INOX materijala, „V“ oblika, za kontakt sa vodom visokog napona. Komparater na odgovarajućem mjestu, mora imati crvenu naljepnicu – „Limit mark“. Indikaciona glava i kontaktne elektrode su povezane VN silikonskim provodnikom dužine 1,3 do 1,5m, i moraju imati zglobnu vezu za moguće zakretanje u odnosu na osu izolacione ručke. Komparater mora biti izrađen prema standardu MEST IEC EN 61481 ili "ekvivalent" i mora posjedovati izveštaj o tipskom ispitivanju, izdat od akreditovanog tijela ne stariji od godinu dana. 70 kom Komparater mora posjedovati i Sertifikat o usaglašenosti sa traženim standardom, koji izdaje proizvođač. Mora biti upakovan u kutiju ili kasetu koja će ga štititi od mehaničkih oštećenja prilikom transporta i skladištenja. Kutija ili kasta mora posjedovati ručicu ili remen za nošenje. Detektor mora imati uputstvo za upotrebu. Napomena: - za svaki komad opisane opreme, koja podliježe periodičnom ispitivanju, izabrani ponuđač prilikom isporuke prilaže izveštaj o ispitivanju koji je izdat od strane akreditovanog ustanove. - predmetni izvještaj ne smije biti stariji od 12 mjeseci od dana isporuke.</w:t>
      </w:r>
    </w:p>
    <w:p w:rsidR="00105FFA" w:rsidRPr="000F2A96" w:rsidRDefault="00105FFA" w:rsidP="00A0340E">
      <w:pPr>
        <w:pStyle w:val="NoSpacing"/>
        <w:jc w:val="both"/>
        <w:rPr>
          <w:rFonts w:ascii="Times New Roman" w:hAnsi="Times New Roman" w:cs="Times New Roman"/>
          <w:sz w:val="24"/>
          <w:szCs w:val="24"/>
        </w:rPr>
      </w:pPr>
    </w:p>
    <w:p w:rsidR="00C719C0" w:rsidRDefault="00C719C0" w:rsidP="00C719C0">
      <w:pPr>
        <w:autoSpaceDE w:val="0"/>
        <w:autoSpaceDN w:val="0"/>
        <w:adjustRightInd w:val="0"/>
        <w:jc w:val="both"/>
        <w:rPr>
          <w:b/>
        </w:rPr>
      </w:pPr>
      <w:r w:rsidRPr="00732E37">
        <w:rPr>
          <w:b/>
        </w:rPr>
        <w:t>Nakon i</w:t>
      </w:r>
      <w:r w:rsidRPr="00732E37">
        <w:rPr>
          <w:b/>
          <w:lang w:val="sr-Latn-ME"/>
        </w:rPr>
        <w:t>z</w:t>
      </w:r>
      <w:r>
        <w:rPr>
          <w:b/>
        </w:rPr>
        <w:t>mjene ova stavka glasi</w:t>
      </w:r>
      <w:r w:rsidRPr="00732E37">
        <w:rPr>
          <w:b/>
        </w:rPr>
        <w:t>:</w:t>
      </w:r>
    </w:p>
    <w:p w:rsidR="00105FFA" w:rsidRDefault="00105FFA" w:rsidP="00A0340E">
      <w:pPr>
        <w:pStyle w:val="NoSpacing"/>
        <w:jc w:val="both"/>
        <w:rPr>
          <w:color w:val="FF0000"/>
        </w:rPr>
      </w:pPr>
    </w:p>
    <w:p w:rsidR="002F47A5" w:rsidRPr="000F2A96" w:rsidRDefault="002F47A5" w:rsidP="002F47A5">
      <w:pPr>
        <w:pStyle w:val="NoSpacing"/>
        <w:jc w:val="both"/>
        <w:rPr>
          <w:rFonts w:ascii="Times New Roman" w:hAnsi="Times New Roman" w:cs="Times New Roman"/>
          <w:sz w:val="24"/>
          <w:szCs w:val="24"/>
        </w:rPr>
      </w:pPr>
      <w:r w:rsidRPr="000F2A96">
        <w:rPr>
          <w:rFonts w:ascii="Times New Roman" w:hAnsi="Times New Roman" w:cs="Times New Roman"/>
          <w:b/>
          <w:sz w:val="24"/>
          <w:szCs w:val="24"/>
        </w:rPr>
        <w:t>Stavka 1:</w:t>
      </w:r>
      <w:r w:rsidRPr="000F2A96">
        <w:rPr>
          <w:rFonts w:ascii="Times New Roman" w:hAnsi="Times New Roman" w:cs="Times New Roman"/>
          <w:sz w:val="24"/>
          <w:szCs w:val="24"/>
        </w:rPr>
        <w:t xml:space="preserve"> Komparater je za fazno poređenje u višefaznim postrojenjima i vodovima nominalnog napona 6-35 kV. Komparater posjeduje izolacione ručke sa indikacionom glavom (dužine min 0,65m) i odvojive kontaktne elektrode (dužine min 0,55m). Dužina u sklopljenom stanju je min 1,2m. Komparater mora imati baterijsko napajanje (baterija od 9V, alkalna - 6 LR 61). Izolacioni djelovi moraju biti izrađeni od termoplastičnih materijala odgovarajućih dielektričnih i mehaničkih osobina i sa graničnicima rukohvata – Ø80-90mm. Dužina ručke komparatera ne smije biti manja od 115mm, a visina graničnika za ruke, ne manja od 20mm. Indikator se koristi za unutrašnju i spoljašnju upotrebu i u pogledu indikacije, mora ispuniti sledeće zahteve: -Indikacija faznog odnosa je zvučna (piezo zujalica) i svjetlosna (crvene LED diode). -Komparater na glavi mora imati ugrađen test taster za ispitivanje funkcionalnosti svjetlosne i zvučne signalizacije, prije upotrebe. Nakon testa, ispravan rad pokazuje jedna zelena LED dioda. -Komparater mora da reaguje pri dodiru visokog napona, odmah – i bez testa. -Komparater je klase B, i klimatske kategorije N. -Kontaktne elektrode moraju imati na vrhu obrtnu kontakt viljušku od INOX materijala, „V“ oblika, za kontakt sa vodom visokog napona. Komparater na odgovarajućem mjestu, mora imati crvenu naljepnicu – „Limit mark“. Indikaciona glava i kontaktne elektrode su povezane VN silikonskim provodnikom dužine 1,3 do 1,5m, i moraju imati zglobnu vezu za moguće zakretanje u odnosu na osu izolacione ručke. Komparater mora biti izrađen prema standardu MEST IEC EN 61481 ili "ekvivalent" i mora posjedovati izveštaj o tipskom ispitivanju, izdat od akreditovanog t</w:t>
      </w:r>
      <w:r w:rsidR="00C55372">
        <w:rPr>
          <w:rFonts w:ascii="Times New Roman" w:hAnsi="Times New Roman" w:cs="Times New Roman"/>
          <w:sz w:val="24"/>
          <w:szCs w:val="24"/>
        </w:rPr>
        <w:t>ijela ne stariji od godinu dana</w:t>
      </w:r>
      <w:r w:rsidRPr="000F2A96">
        <w:rPr>
          <w:rFonts w:ascii="Times New Roman" w:hAnsi="Times New Roman" w:cs="Times New Roman"/>
          <w:sz w:val="24"/>
          <w:szCs w:val="24"/>
        </w:rPr>
        <w:t xml:space="preserve"> </w:t>
      </w:r>
      <w:r w:rsidRPr="00C55372">
        <w:rPr>
          <w:rFonts w:ascii="Times New Roman" w:hAnsi="Times New Roman" w:cs="Times New Roman"/>
          <w:strike/>
          <w:color w:val="FF0000"/>
          <w:sz w:val="24"/>
          <w:szCs w:val="24"/>
        </w:rPr>
        <w:t>70 kom</w:t>
      </w:r>
      <w:r w:rsidRPr="00C55372">
        <w:rPr>
          <w:rFonts w:ascii="Times New Roman" w:hAnsi="Times New Roman" w:cs="Times New Roman"/>
          <w:color w:val="FF0000"/>
          <w:sz w:val="24"/>
          <w:szCs w:val="24"/>
        </w:rPr>
        <w:t xml:space="preserve"> </w:t>
      </w:r>
      <w:r w:rsidRPr="000F2A96">
        <w:rPr>
          <w:rFonts w:ascii="Times New Roman" w:hAnsi="Times New Roman" w:cs="Times New Roman"/>
          <w:sz w:val="24"/>
          <w:szCs w:val="24"/>
        </w:rPr>
        <w:t>Komparater mora posjedovati i Sertifikat o usaglašenosti sa traženim standardom, koji izdaje proizvođač. Mora biti upakovan u kutiju ili kasetu koja će ga štititi od mehaničkih oštećenja prilikom transporta i skladištenja. Kutija ili kasta mora posjedovati ručicu ili remen za nošenje. Detektor mora imati uputstvo za upotrebu. Napomena: - za svaki komad opisane opreme, koja podliježe periodičnom ispitivanju, izabrani ponuđač prilikom isporuke prilaže izveštaj o ispitivanju koji je izdat od strane akreditovanog ustanove. - predmetni izvještaj ne smije biti stariji od 12 mjeseci od dana isporuke.</w:t>
      </w:r>
    </w:p>
    <w:p w:rsidR="00105FFA" w:rsidRDefault="00105FFA" w:rsidP="00A0340E">
      <w:pPr>
        <w:pStyle w:val="NoSpacing"/>
        <w:jc w:val="both"/>
        <w:rPr>
          <w:color w:val="FF0000"/>
        </w:rPr>
      </w:pPr>
    </w:p>
    <w:p w:rsidR="000E23B8" w:rsidRPr="008454E4" w:rsidRDefault="000E23B8" w:rsidP="008454E4">
      <w:pPr>
        <w:pStyle w:val="ListParagraph"/>
        <w:numPr>
          <w:ilvl w:val="0"/>
          <w:numId w:val="21"/>
        </w:numPr>
        <w:jc w:val="both"/>
        <w:rPr>
          <w:b/>
          <w:lang w:val="sr-Latn-ME"/>
        </w:rPr>
      </w:pPr>
      <w:r w:rsidRPr="008454E4">
        <w:rPr>
          <w:b/>
          <w:color w:val="FF0000"/>
          <w:lang w:val="sl-SI"/>
        </w:rPr>
        <w:t xml:space="preserve"> </w:t>
      </w:r>
      <w:r w:rsidRPr="008454E4">
        <w:rPr>
          <w:b/>
          <w:lang w:val="sr-Latn-ME"/>
        </w:rPr>
        <w:t>S obzirom da su u dokumentu tenderska dokumentacija i na portalu cejn izvršene izmjene u skladu sa zahtjevima potencijalnih ponuđača</w:t>
      </w:r>
      <w:r w:rsidRPr="008454E4">
        <w:rPr>
          <w:lang w:val="sr-Latn-ME"/>
        </w:rPr>
        <w:t>,</w:t>
      </w:r>
      <w:r w:rsidRPr="008454E4">
        <w:rPr>
          <w:b/>
          <w:lang w:val="sr-Latn-ME"/>
        </w:rPr>
        <w:t xml:space="preserve"> </w:t>
      </w:r>
      <w:r w:rsidRPr="008454E4">
        <w:rPr>
          <w:lang w:val="sl-SI"/>
        </w:rPr>
        <w:t xml:space="preserve">u skladu sa članom 94 stav 2 Zakona o javnim nabavkama </w:t>
      </w:r>
      <w:r w:rsidR="00EF7099" w:rsidRPr="000E23B8">
        <w:t>("Službeni list Crne Gore", br. 074/19 od 30.12.2019, 003/23 od 10.01.2023, 011/23 od 27.01.2023)</w:t>
      </w:r>
      <w:r w:rsidRPr="008454E4">
        <w:rPr>
          <w:lang w:val="sl-SI"/>
        </w:rPr>
        <w:t xml:space="preserve"> pomjera se rok za dostavljanje i otvaranje ponuda, pa se vrši izmjena Tenderske dokumentacije u poglavlju NAČIN, MJESTO I </w:t>
      </w:r>
      <w:r w:rsidRPr="008454E4">
        <w:rPr>
          <w:lang w:val="sl-SI"/>
        </w:rPr>
        <w:lastRenderedPageBreak/>
        <w:t xml:space="preserve">VRIJEME PODNOŠENJA PONUDA I OTVARANJA PONUDA pa tekst </w:t>
      </w:r>
      <w:r w:rsidR="00F12629">
        <w:rPr>
          <w:lang w:val="sl-SI"/>
        </w:rPr>
        <w:t xml:space="preserve">koji je </w:t>
      </w:r>
      <w:r w:rsidRPr="008454E4">
        <w:rPr>
          <w:lang w:val="sl-SI"/>
        </w:rPr>
        <w:t>glasi</w:t>
      </w:r>
      <w:r w:rsidR="00F12629">
        <w:rPr>
          <w:lang w:val="sl-SI"/>
        </w:rPr>
        <w:t>o</w:t>
      </w:r>
      <w:r w:rsidRPr="008454E4">
        <w:rPr>
          <w:lang w:val="sl-SI"/>
        </w:rPr>
        <w:t>:</w:t>
      </w:r>
    </w:p>
    <w:p w:rsidR="000E23B8" w:rsidRPr="007A0FCA" w:rsidRDefault="000E23B8" w:rsidP="000E23B8">
      <w:pPr>
        <w:autoSpaceDE w:val="0"/>
        <w:autoSpaceDN w:val="0"/>
        <w:adjustRightInd w:val="0"/>
        <w:jc w:val="both"/>
        <w:rPr>
          <w:highlight w:val="yellow"/>
          <w:lang w:val="sl-SI"/>
        </w:rPr>
      </w:pPr>
    </w:p>
    <w:p w:rsidR="00EB425C" w:rsidRPr="00EB4E9A" w:rsidRDefault="00EB425C" w:rsidP="00EB425C">
      <w:pPr>
        <w:jc w:val="both"/>
        <w:rPr>
          <w:bCs/>
          <w:color w:val="000000"/>
        </w:rPr>
      </w:pPr>
      <w:r w:rsidRPr="00EB4E9A">
        <w:rPr>
          <w:bCs/>
          <w:color w:val="000000"/>
        </w:rPr>
        <w:t xml:space="preserve">Ponude se podnose preko ESJN-a  zaključno sa danom </w:t>
      </w:r>
      <w:r>
        <w:rPr>
          <w:bCs/>
          <w:color w:val="000000"/>
        </w:rPr>
        <w:t>10</w:t>
      </w:r>
      <w:r w:rsidRPr="00EB4E9A">
        <w:rPr>
          <w:bCs/>
          <w:color w:val="000000"/>
        </w:rPr>
        <w:t xml:space="preserve">.07.2023. godine do 10:00 sati. </w:t>
      </w:r>
    </w:p>
    <w:p w:rsidR="00EB425C" w:rsidRPr="00EB4E9A" w:rsidRDefault="00EB425C" w:rsidP="00EB425C">
      <w:pPr>
        <w:jc w:val="both"/>
        <w:rPr>
          <w:bCs/>
          <w:color w:val="000000"/>
        </w:rPr>
      </w:pPr>
    </w:p>
    <w:p w:rsidR="00EB425C" w:rsidRPr="00EB4E9A" w:rsidRDefault="00EB425C" w:rsidP="00EB425C">
      <w:pPr>
        <w:jc w:val="both"/>
        <w:rPr>
          <w:bCs/>
          <w:color w:val="000000"/>
        </w:rPr>
      </w:pPr>
      <w:r w:rsidRPr="00EB4E9A">
        <w:rPr>
          <w:bCs/>
          <w:color w:val="000000"/>
        </w:rPr>
        <w:t xml:space="preserve">Otvaranje ponuda održaće se dana </w:t>
      </w:r>
      <w:r>
        <w:rPr>
          <w:bCs/>
          <w:color w:val="000000"/>
        </w:rPr>
        <w:t>10.07</w:t>
      </w:r>
      <w:r w:rsidRPr="00EB4E9A">
        <w:rPr>
          <w:bCs/>
          <w:color w:val="000000"/>
        </w:rPr>
        <w:t>.2023. godine u 10:00 sati.</w:t>
      </w:r>
    </w:p>
    <w:p w:rsidR="00EB425C" w:rsidRPr="00EB4E9A" w:rsidRDefault="00EB425C" w:rsidP="00EB425C">
      <w:pPr>
        <w:rPr>
          <w:bCs/>
          <w:i/>
          <w:iCs/>
          <w:color w:val="000000"/>
        </w:rPr>
      </w:pPr>
    </w:p>
    <w:p w:rsidR="00EB425C" w:rsidRPr="00EB4E9A" w:rsidRDefault="00EB425C" w:rsidP="00EB425C">
      <w:pPr>
        <w:jc w:val="both"/>
        <w:rPr>
          <w:bCs/>
          <w:color w:val="000000"/>
        </w:rPr>
      </w:pPr>
      <w:r w:rsidRPr="00EB4E9A">
        <w:rPr>
          <w:bCs/>
          <w:color w:val="000000"/>
        </w:rPr>
        <w:sym w:font="Wingdings" w:char="F0FD"/>
      </w:r>
      <w:r w:rsidRPr="00EB4E9A">
        <w:rPr>
          <w:bCs/>
          <w:color w:val="000000"/>
        </w:rPr>
        <w:t xml:space="preserve"> Dio ponude koje se ne dostavlja preko ESJN-a, a odnosi se na Garanciju ponude dostavlja se: </w:t>
      </w:r>
    </w:p>
    <w:p w:rsidR="00EB425C" w:rsidRPr="00EB4E9A" w:rsidRDefault="00EB425C" w:rsidP="00EB425C">
      <w:pPr>
        <w:numPr>
          <w:ilvl w:val="0"/>
          <w:numId w:val="6"/>
        </w:numPr>
        <w:spacing w:before="96"/>
        <w:jc w:val="both"/>
        <w:rPr>
          <w:rFonts w:eastAsia="Calibri"/>
          <w:color w:val="000000"/>
        </w:rPr>
      </w:pPr>
      <w:r w:rsidRPr="00EB4E9A">
        <w:rPr>
          <w:rFonts w:eastAsia="Calibri"/>
          <w:color w:val="000000"/>
        </w:rPr>
        <w:t xml:space="preserve">neposrednom podnošenjem na arhivi naručioca na adresi </w:t>
      </w:r>
      <w:r w:rsidRPr="00EB4E9A">
        <w:rPr>
          <w:color w:val="000000"/>
        </w:rPr>
        <w:t>Ul. Ivana Milutinovića br. 12, Podgorica;</w:t>
      </w:r>
    </w:p>
    <w:p w:rsidR="00EB425C" w:rsidRPr="00EB4E9A" w:rsidRDefault="00EB425C" w:rsidP="00EB425C">
      <w:pPr>
        <w:numPr>
          <w:ilvl w:val="0"/>
          <w:numId w:val="6"/>
        </w:numPr>
        <w:spacing w:before="96"/>
        <w:jc w:val="both"/>
        <w:rPr>
          <w:rFonts w:eastAsia="Calibri"/>
          <w:color w:val="000000"/>
        </w:rPr>
      </w:pPr>
      <w:r w:rsidRPr="00EB4E9A">
        <w:rPr>
          <w:rFonts w:eastAsia="Calibri"/>
          <w:color w:val="000000"/>
        </w:rPr>
        <w:t xml:space="preserve">preporučenom pošiljkom sa povratnicom na adresi </w:t>
      </w:r>
      <w:r w:rsidRPr="00EB4E9A">
        <w:rPr>
          <w:color w:val="000000"/>
        </w:rPr>
        <w:t>Ul. Ivana Milutinovića br. 12</w:t>
      </w:r>
      <w:r w:rsidRPr="00EB4E9A">
        <w:rPr>
          <w:rFonts w:eastAsia="Calibri"/>
        </w:rPr>
        <w:t>, Podgorica</w:t>
      </w:r>
      <w:r w:rsidRPr="00EB4E9A">
        <w:rPr>
          <w:rFonts w:eastAsia="Calibri"/>
          <w:color w:val="000000"/>
        </w:rPr>
        <w:t xml:space="preserve">, s tim što ponuda mora biti uručena od strane poštanskog operatora najkasnije do roka određenog za podnošenje ponude, </w:t>
      </w:r>
    </w:p>
    <w:p w:rsidR="00EB425C" w:rsidRPr="00EB4E9A" w:rsidRDefault="00EB425C" w:rsidP="00EB425C">
      <w:pPr>
        <w:jc w:val="both"/>
        <w:rPr>
          <w:color w:val="000000"/>
        </w:rPr>
      </w:pPr>
    </w:p>
    <w:p w:rsidR="00EB425C" w:rsidRPr="00EB4E9A" w:rsidRDefault="00EB425C" w:rsidP="00EB425C">
      <w:pPr>
        <w:jc w:val="both"/>
        <w:rPr>
          <w:color w:val="000000"/>
        </w:rPr>
      </w:pPr>
      <w:r w:rsidRPr="00EB4E9A">
        <w:rPr>
          <w:color w:val="000000"/>
        </w:rPr>
        <w:t xml:space="preserve">radnim danima od 8:00 do 12:00 sati, zaključno sa danom </w:t>
      </w:r>
      <w:r>
        <w:rPr>
          <w:color w:val="000000"/>
        </w:rPr>
        <w:t>10</w:t>
      </w:r>
      <w:r w:rsidRPr="00EB4E9A">
        <w:rPr>
          <w:color w:val="000000"/>
        </w:rPr>
        <w:t>.07.2023. godine do 09:30 sati.</w:t>
      </w:r>
    </w:p>
    <w:p w:rsidR="00EB425C" w:rsidRDefault="00EB425C" w:rsidP="00EB425C">
      <w:pPr>
        <w:spacing w:before="96"/>
        <w:jc w:val="both"/>
        <w:rPr>
          <w:rFonts w:eastAsia="Calibri"/>
          <w:color w:val="000000"/>
        </w:rPr>
      </w:pPr>
      <w:r w:rsidRPr="00EB4E9A">
        <w:rPr>
          <w:rFonts w:eastAsia="Calibri"/>
          <w:color w:val="000000"/>
        </w:rPr>
        <w:t xml:space="preserve">Javno otvaranje dijela ponude koji se ne dostavlja preko ESJN-a, a odnosi se na Garanciju ponude održaće se dana </w:t>
      </w:r>
      <w:r>
        <w:rPr>
          <w:rFonts w:eastAsia="Calibri"/>
          <w:color w:val="000000"/>
        </w:rPr>
        <w:t>10</w:t>
      </w:r>
      <w:r w:rsidRPr="00EB4E9A">
        <w:rPr>
          <w:rFonts w:eastAsia="Calibri"/>
          <w:color w:val="000000"/>
        </w:rPr>
        <w:t xml:space="preserve">.07.2023. godine u 10:00 sati u prostorijama naručioca na adresi  ul. Ivana Milutinovića br. 12, Podgorica. </w:t>
      </w:r>
    </w:p>
    <w:p w:rsidR="000E23B8" w:rsidRDefault="000E23B8" w:rsidP="000E23B8">
      <w:pPr>
        <w:jc w:val="both"/>
        <w:rPr>
          <w:color w:val="FF0000"/>
          <w:sz w:val="10"/>
          <w:highlight w:val="cyan"/>
        </w:rPr>
      </w:pPr>
    </w:p>
    <w:p w:rsidR="00657754" w:rsidRPr="00657754" w:rsidRDefault="00657754" w:rsidP="000E23B8">
      <w:pPr>
        <w:jc w:val="both"/>
        <w:rPr>
          <w:b/>
          <w:sz w:val="14"/>
        </w:rPr>
      </w:pPr>
    </w:p>
    <w:p w:rsidR="00EB425C" w:rsidRPr="00657754" w:rsidRDefault="00EB425C" w:rsidP="000E23B8">
      <w:pPr>
        <w:jc w:val="both"/>
        <w:rPr>
          <w:b/>
        </w:rPr>
      </w:pPr>
      <w:r w:rsidRPr="00657754">
        <w:rPr>
          <w:b/>
        </w:rPr>
        <w:t>Mijenja se i glasi:</w:t>
      </w:r>
    </w:p>
    <w:p w:rsidR="00EB425C" w:rsidRDefault="00EB425C" w:rsidP="000E23B8">
      <w:pPr>
        <w:jc w:val="both"/>
        <w:rPr>
          <w:highlight w:val="cyan"/>
        </w:rPr>
      </w:pPr>
    </w:p>
    <w:p w:rsidR="00EB425C" w:rsidRPr="009015F3" w:rsidRDefault="00EB425C" w:rsidP="00EB425C">
      <w:pPr>
        <w:jc w:val="both"/>
        <w:rPr>
          <w:bCs/>
        </w:rPr>
      </w:pPr>
      <w:r w:rsidRPr="009015F3">
        <w:rPr>
          <w:bCs/>
        </w:rPr>
        <w:t xml:space="preserve">Ponude se podnose preko ESJN-a  zaključno sa danom </w:t>
      </w:r>
      <w:r w:rsidR="00F534F0" w:rsidRPr="009015F3">
        <w:rPr>
          <w:bCs/>
        </w:rPr>
        <w:t>12</w:t>
      </w:r>
      <w:r w:rsidRPr="009015F3">
        <w:rPr>
          <w:bCs/>
        </w:rPr>
        <w:t xml:space="preserve">.07.2023. godine do 10:00 sati. </w:t>
      </w:r>
    </w:p>
    <w:p w:rsidR="00EB425C" w:rsidRPr="009015F3" w:rsidRDefault="00EB425C" w:rsidP="00EB425C">
      <w:pPr>
        <w:jc w:val="both"/>
        <w:rPr>
          <w:bCs/>
        </w:rPr>
      </w:pPr>
    </w:p>
    <w:p w:rsidR="00EB425C" w:rsidRPr="009015F3" w:rsidRDefault="00EB425C" w:rsidP="00EB425C">
      <w:pPr>
        <w:jc w:val="both"/>
        <w:rPr>
          <w:bCs/>
        </w:rPr>
      </w:pPr>
      <w:r w:rsidRPr="009015F3">
        <w:rPr>
          <w:bCs/>
        </w:rPr>
        <w:t xml:space="preserve">Otvaranje ponuda održaće se dana </w:t>
      </w:r>
      <w:r w:rsidR="00F534F0" w:rsidRPr="009015F3">
        <w:rPr>
          <w:bCs/>
        </w:rPr>
        <w:t>12</w:t>
      </w:r>
      <w:r w:rsidRPr="009015F3">
        <w:rPr>
          <w:bCs/>
        </w:rPr>
        <w:t>.07.2023. godine u 10:00 sati.</w:t>
      </w:r>
    </w:p>
    <w:p w:rsidR="00EB425C" w:rsidRPr="009015F3" w:rsidRDefault="00EB425C" w:rsidP="00EB425C">
      <w:pPr>
        <w:rPr>
          <w:bCs/>
          <w:i/>
          <w:iCs/>
        </w:rPr>
      </w:pPr>
    </w:p>
    <w:p w:rsidR="00EB425C" w:rsidRPr="009015F3" w:rsidRDefault="00EB425C" w:rsidP="00EB425C">
      <w:pPr>
        <w:jc w:val="both"/>
        <w:rPr>
          <w:bCs/>
        </w:rPr>
      </w:pPr>
      <w:r w:rsidRPr="009015F3">
        <w:rPr>
          <w:bCs/>
        </w:rPr>
        <w:sym w:font="Wingdings" w:char="F0FD"/>
      </w:r>
      <w:r w:rsidRPr="009015F3">
        <w:rPr>
          <w:bCs/>
        </w:rPr>
        <w:t xml:space="preserve"> Dio ponude koje se ne dostavlja preko ESJN-a, a odnosi se na Garanciju ponude dostavlja se: </w:t>
      </w:r>
    </w:p>
    <w:p w:rsidR="00EB425C" w:rsidRPr="009015F3" w:rsidRDefault="00EB425C" w:rsidP="00EB425C">
      <w:pPr>
        <w:numPr>
          <w:ilvl w:val="0"/>
          <w:numId w:val="6"/>
        </w:numPr>
        <w:spacing w:before="96"/>
        <w:jc w:val="both"/>
        <w:rPr>
          <w:rFonts w:eastAsia="Calibri"/>
        </w:rPr>
      </w:pPr>
      <w:r w:rsidRPr="009015F3">
        <w:rPr>
          <w:rFonts w:eastAsia="Calibri"/>
        </w:rPr>
        <w:t xml:space="preserve">neposrednom podnošenjem na arhivi naručioca na adresi </w:t>
      </w:r>
      <w:r w:rsidRPr="009015F3">
        <w:t>Ul. Ivana Milutinovića br. 12, Podgorica;</w:t>
      </w:r>
    </w:p>
    <w:p w:rsidR="00EB425C" w:rsidRPr="009015F3" w:rsidRDefault="00EB425C" w:rsidP="00EB425C">
      <w:pPr>
        <w:numPr>
          <w:ilvl w:val="0"/>
          <w:numId w:val="6"/>
        </w:numPr>
        <w:spacing w:before="96"/>
        <w:jc w:val="both"/>
        <w:rPr>
          <w:rFonts w:eastAsia="Calibri"/>
        </w:rPr>
      </w:pPr>
      <w:r w:rsidRPr="009015F3">
        <w:rPr>
          <w:rFonts w:eastAsia="Calibri"/>
        </w:rPr>
        <w:t xml:space="preserve">preporučenom pošiljkom sa povratnicom na adresi </w:t>
      </w:r>
      <w:r w:rsidRPr="009015F3">
        <w:t>Ul. Ivana Milutinovića br. 12</w:t>
      </w:r>
      <w:r w:rsidRPr="009015F3">
        <w:rPr>
          <w:rFonts w:eastAsia="Calibri"/>
        </w:rPr>
        <w:t xml:space="preserve">, Podgorica, s tim što ponuda mora biti uručena od strane poštanskog operatora najkasnije do roka određenog za podnošenje ponude, </w:t>
      </w:r>
    </w:p>
    <w:p w:rsidR="00EB425C" w:rsidRPr="009015F3" w:rsidRDefault="00EB425C" w:rsidP="00EB425C">
      <w:pPr>
        <w:jc w:val="both"/>
      </w:pPr>
    </w:p>
    <w:p w:rsidR="00EB425C" w:rsidRPr="009015F3" w:rsidRDefault="00EB425C" w:rsidP="00EB425C">
      <w:pPr>
        <w:jc w:val="both"/>
      </w:pPr>
      <w:r w:rsidRPr="009015F3">
        <w:t xml:space="preserve">radnim danima od 8:00 do 12:00 sati, zaključno sa danom </w:t>
      </w:r>
      <w:r w:rsidR="00F534F0" w:rsidRPr="009015F3">
        <w:t>12</w:t>
      </w:r>
      <w:r w:rsidRPr="009015F3">
        <w:t>.07.2023. godine do 09:30 sati.</w:t>
      </w:r>
    </w:p>
    <w:p w:rsidR="00EB425C" w:rsidRPr="009015F3" w:rsidRDefault="00EB425C" w:rsidP="00EB425C">
      <w:pPr>
        <w:spacing w:before="96"/>
        <w:jc w:val="both"/>
        <w:rPr>
          <w:rFonts w:eastAsia="Calibri"/>
        </w:rPr>
      </w:pPr>
      <w:r w:rsidRPr="009015F3">
        <w:rPr>
          <w:rFonts w:eastAsia="Calibri"/>
        </w:rPr>
        <w:t>Javno otvaranje dijela ponude koji se ne dostavlja preko ESJN-a, a odnosi se na Garanciju ponude održaće se dana 1</w:t>
      </w:r>
      <w:r w:rsidR="00F534F0" w:rsidRPr="009015F3">
        <w:rPr>
          <w:rFonts w:eastAsia="Calibri"/>
        </w:rPr>
        <w:t>2</w:t>
      </w:r>
      <w:r w:rsidRPr="009015F3">
        <w:rPr>
          <w:rFonts w:eastAsia="Calibri"/>
        </w:rPr>
        <w:t xml:space="preserve">.07.2023. godine u 10:00 sati u prostorijama naručioca na adresi  ul. Ivana Milutinovića br. 12, Podgorica. </w:t>
      </w:r>
    </w:p>
    <w:p w:rsidR="00EB425C" w:rsidRPr="009015F3" w:rsidRDefault="00EB425C" w:rsidP="000E23B8">
      <w:pPr>
        <w:jc w:val="both"/>
        <w:rPr>
          <w:highlight w:val="cyan"/>
        </w:rPr>
      </w:pPr>
    </w:p>
    <w:p w:rsidR="000E23B8" w:rsidRPr="007A0FCA" w:rsidRDefault="000E23B8" w:rsidP="000E23B8">
      <w:pPr>
        <w:jc w:val="both"/>
        <w:rPr>
          <w:sz w:val="10"/>
          <w:highlight w:val="cyan"/>
        </w:rPr>
      </w:pPr>
    </w:p>
    <w:p w:rsidR="000E23B8" w:rsidRDefault="000E23B8" w:rsidP="000E23B8">
      <w:pPr>
        <w:jc w:val="both"/>
        <w:rPr>
          <w:b/>
          <w:lang w:val="sl-SI"/>
        </w:rPr>
      </w:pPr>
      <w:r w:rsidRPr="007A0FCA">
        <w:rPr>
          <w:b/>
          <w:lang w:val="sl-SI"/>
        </w:rPr>
        <w:t>Ostale odredbe Tenderske dokumentacije ostaju nepromijenjene.</w:t>
      </w:r>
    </w:p>
    <w:p w:rsidR="00DB5D95" w:rsidRPr="00DB5D95" w:rsidRDefault="00DB5D95" w:rsidP="00592530">
      <w:pPr>
        <w:jc w:val="both"/>
        <w:rPr>
          <w:rFonts w:ascii="Arial Narrow" w:hAnsi="Arial Narrow"/>
          <w:b/>
          <w:sz w:val="12"/>
          <w:szCs w:val="12"/>
          <w:lang w:val="sr-Latn-CS"/>
        </w:rPr>
      </w:pPr>
    </w:p>
    <w:p w:rsidR="00DB5D95" w:rsidRPr="00951103" w:rsidRDefault="00DB5D95" w:rsidP="00DB5D95">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outlineLvl w:val="0"/>
        <w:rPr>
          <w:b/>
          <w:iCs/>
        </w:rPr>
      </w:pPr>
      <w:bookmarkStart w:id="1" w:name="_Toc62730568"/>
      <w:r w:rsidRPr="00951103">
        <w:rPr>
          <w:b/>
        </w:rPr>
        <w:t>UPUTSTVO O PRAVNOM SREDSTVU</w:t>
      </w:r>
      <w:bookmarkEnd w:id="1"/>
    </w:p>
    <w:p w:rsidR="00DB5D95" w:rsidRPr="00951103" w:rsidRDefault="00DB5D95" w:rsidP="00DB5D95">
      <w:pPr>
        <w:tabs>
          <w:tab w:val="left" w:pos="5760"/>
        </w:tabs>
        <w:jc w:val="center"/>
        <w:rPr>
          <w:color w:val="000000"/>
          <w:sz w:val="2"/>
          <w:szCs w:val="2"/>
        </w:rPr>
      </w:pPr>
    </w:p>
    <w:p w:rsidR="00DB5D95" w:rsidRPr="00951103" w:rsidRDefault="00DB5D95" w:rsidP="00DB5D95">
      <w:pPr>
        <w:jc w:val="both"/>
        <w:rPr>
          <w:rFonts w:eastAsia="Calibri"/>
        </w:rPr>
      </w:pPr>
      <w:r w:rsidRPr="00951103">
        <w:rPr>
          <w:rFonts w:eastAsia="Calibri"/>
        </w:rPr>
        <w:t>Privredni subjekat može da izjavi žalbu protiv ove tenderske dokumentacije Komisiji za zaštitu prava:</w:t>
      </w:r>
    </w:p>
    <w:p w:rsidR="00DB5D95" w:rsidRPr="00951103" w:rsidRDefault="00DB5D95" w:rsidP="00DB5D95">
      <w:pPr>
        <w:jc w:val="both"/>
        <w:rPr>
          <w:rFonts w:eastAsia="Calibri"/>
          <w:sz w:val="12"/>
          <w:szCs w:val="12"/>
        </w:rPr>
      </w:pPr>
    </w:p>
    <w:p w:rsidR="00DB5D95" w:rsidRPr="00951103" w:rsidRDefault="00DB5D95" w:rsidP="00DB5D95">
      <w:pPr>
        <w:numPr>
          <w:ilvl w:val="0"/>
          <w:numId w:val="19"/>
        </w:numPr>
        <w:jc w:val="both"/>
        <w:rPr>
          <w:rFonts w:eastAsia="Calibri"/>
          <w:lang w:val="sr-Latn-CS"/>
        </w:rPr>
      </w:pPr>
      <w:r w:rsidRPr="00951103">
        <w:rPr>
          <w:rFonts w:eastAsia="Calibri"/>
          <w:lang w:val="sr-Latn-CS"/>
        </w:rPr>
        <w:lastRenderedPageBreak/>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951103" w:rsidRDefault="00DB5D95" w:rsidP="00DB5D95">
      <w:pPr>
        <w:numPr>
          <w:ilvl w:val="0"/>
          <w:numId w:val="19"/>
        </w:numPr>
        <w:jc w:val="both"/>
        <w:rPr>
          <w:rFonts w:eastAsia="Calibri"/>
          <w:lang w:val="sr-Latn-CS"/>
        </w:rPr>
      </w:pPr>
      <w:r w:rsidRPr="0095110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951103" w:rsidRDefault="00DB5D95" w:rsidP="00DB5D95">
      <w:pPr>
        <w:numPr>
          <w:ilvl w:val="0"/>
          <w:numId w:val="19"/>
        </w:numPr>
        <w:jc w:val="both"/>
        <w:rPr>
          <w:rFonts w:eastAsia="Calibri"/>
          <w:lang w:val="sr-Latn-CS"/>
        </w:rPr>
      </w:pPr>
      <w:r w:rsidRPr="0095110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951103" w:rsidRDefault="00DB5D95" w:rsidP="00DB5D95">
      <w:pPr>
        <w:jc w:val="both"/>
        <w:rPr>
          <w:rFonts w:eastAsia="Calibri"/>
          <w:sz w:val="10"/>
          <w:szCs w:val="10"/>
        </w:rPr>
      </w:pPr>
      <w:r w:rsidRPr="00951103">
        <w:rPr>
          <w:rFonts w:eastAsia="Calibri"/>
        </w:rPr>
        <w:tab/>
      </w:r>
    </w:p>
    <w:p w:rsidR="00DB5D95" w:rsidRPr="00951103" w:rsidRDefault="00DB5D95" w:rsidP="00DB5D95">
      <w:pPr>
        <w:jc w:val="both"/>
        <w:rPr>
          <w:rFonts w:eastAsia="Calibri"/>
        </w:rPr>
      </w:pPr>
      <w:r w:rsidRPr="00951103">
        <w:rPr>
          <w:rFonts w:eastAsia="Calibri"/>
        </w:rPr>
        <w:tab/>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DB5D95" w:rsidRPr="00951103" w:rsidRDefault="00DB5D95" w:rsidP="00DB5D95">
      <w:pPr>
        <w:jc w:val="both"/>
        <w:rPr>
          <w:rFonts w:eastAsia="Calibri"/>
          <w:sz w:val="12"/>
          <w:szCs w:val="12"/>
        </w:rPr>
      </w:pPr>
    </w:p>
    <w:p w:rsidR="00DB5D95" w:rsidRPr="00951103" w:rsidRDefault="00DB5D95" w:rsidP="00DB5D95">
      <w:pPr>
        <w:jc w:val="both"/>
        <w:rPr>
          <w:rFonts w:eastAsia="Calibri"/>
        </w:rPr>
      </w:pPr>
      <w:r w:rsidRPr="00951103">
        <w:rPr>
          <w:rFonts w:eastAsia="Calibri"/>
        </w:rPr>
        <w:tab/>
        <w:t>Ukoliko je predmet nabavke podijeljen po partijama, a žalba se odnosi samo na određenu/e partiju/e, naknada se plaća u iznosu 1% od procijenjene vrijednosti javne nabavke te/tih partije/a.</w:t>
      </w:r>
    </w:p>
    <w:p w:rsidR="00DB5D95" w:rsidRPr="00951103" w:rsidRDefault="00DB5D95" w:rsidP="00DB5D95">
      <w:pPr>
        <w:jc w:val="both"/>
        <w:rPr>
          <w:rFonts w:eastAsia="Calibri"/>
        </w:rPr>
      </w:pPr>
    </w:p>
    <w:p w:rsidR="00DB5D95" w:rsidRPr="0012353B" w:rsidRDefault="00DB5D95" w:rsidP="00DB5D95">
      <w:pPr>
        <w:jc w:val="both"/>
        <w:rPr>
          <w:rFonts w:eastAsia="Calibri"/>
          <w:lang w:val="sr-Latn-ME"/>
        </w:rPr>
      </w:pPr>
      <w:r w:rsidRPr="00951103">
        <w:rPr>
          <w:rFonts w:eastAsia="Calibri"/>
        </w:rPr>
        <w:tab/>
        <w:t xml:space="preserve">Instrukcije za plaćanje naknade za vođenje postupka od strane žalilaca iz inostranstva nalaze se na internet stranici Komisije za zaštitu prava nabavki </w:t>
      </w:r>
      <w:hyperlink r:id="rId9" w:history="1">
        <w:r w:rsidRPr="00951103">
          <w:rPr>
            <w:rFonts w:eastAsia="Calibri"/>
            <w:color w:val="0000FF"/>
            <w:u w:val="single"/>
          </w:rPr>
          <w:t>http://www.kontrola-nabavki.me/</w:t>
        </w:r>
      </w:hyperlink>
      <w:r w:rsidR="006E2B8F">
        <w:rPr>
          <w:rFonts w:eastAsia="Calibri"/>
        </w:rPr>
        <w:t>“.</w:t>
      </w:r>
    </w:p>
    <w:p w:rsidR="00DB5D95" w:rsidRPr="00951103" w:rsidRDefault="00DB5D95" w:rsidP="00592530">
      <w:pPr>
        <w:jc w:val="both"/>
        <w:rPr>
          <w:b/>
          <w:lang w:val="sr-Latn-CS"/>
        </w:rPr>
      </w:pPr>
    </w:p>
    <w:p w:rsidR="00C67403" w:rsidRPr="00951103" w:rsidRDefault="00C67403" w:rsidP="003D3BE4">
      <w:pPr>
        <w:jc w:val="both"/>
        <w:rPr>
          <w:b/>
          <w:lang w:val="sl-SI"/>
        </w:rPr>
      </w:pPr>
    </w:p>
    <w:p w:rsidR="003D3BE4" w:rsidRPr="00951103" w:rsidRDefault="003D3BE4" w:rsidP="003D3BE4">
      <w:pPr>
        <w:pStyle w:val="PlainText"/>
        <w:jc w:val="both"/>
        <w:rPr>
          <w:rFonts w:ascii="Times New Roman" w:hAnsi="Times New Roman"/>
          <w:b/>
          <w:sz w:val="24"/>
          <w:szCs w:val="24"/>
        </w:rPr>
      </w:pPr>
      <w:r w:rsidRPr="00951103">
        <w:rPr>
          <w:rFonts w:ascii="Times New Roman" w:hAnsi="Times New Roman"/>
          <w:sz w:val="24"/>
          <w:szCs w:val="24"/>
        </w:rPr>
        <w:t xml:space="preserve">        </w:t>
      </w:r>
      <w:r w:rsidRPr="00951103">
        <w:rPr>
          <w:rFonts w:ascii="Times New Roman" w:hAnsi="Times New Roman"/>
          <w:b/>
          <w:sz w:val="24"/>
          <w:szCs w:val="24"/>
        </w:rPr>
        <w:t xml:space="preserve">                  </w:t>
      </w:r>
      <w:r w:rsidR="00383E54" w:rsidRPr="00951103">
        <w:rPr>
          <w:rFonts w:ascii="Times New Roman" w:hAnsi="Times New Roman"/>
          <w:b/>
          <w:sz w:val="24"/>
          <w:szCs w:val="24"/>
        </w:rPr>
        <w:t xml:space="preserve">                        </w:t>
      </w:r>
      <w:r w:rsidRPr="00951103">
        <w:rPr>
          <w:rFonts w:ascii="Times New Roman" w:hAnsi="Times New Roman"/>
          <w:b/>
          <w:sz w:val="24"/>
          <w:szCs w:val="24"/>
        </w:rPr>
        <w:t xml:space="preserve">   Ispred Komisije </w:t>
      </w:r>
      <w:r w:rsidR="00E31E4E" w:rsidRPr="00951103">
        <w:rPr>
          <w:rFonts w:ascii="Times New Roman" w:hAnsi="Times New Roman"/>
          <w:b/>
          <w:sz w:val="24"/>
          <w:szCs w:val="24"/>
        </w:rPr>
        <w:t>za sprovođenje postupka javne nabavke</w:t>
      </w:r>
    </w:p>
    <w:p w:rsidR="003D3BE4" w:rsidRPr="00951103" w:rsidRDefault="003D3BE4" w:rsidP="003D3BE4">
      <w:pPr>
        <w:pStyle w:val="PlainText"/>
        <w:jc w:val="both"/>
        <w:rPr>
          <w:rFonts w:ascii="Times New Roman" w:hAnsi="Times New Roman"/>
          <w:sz w:val="24"/>
          <w:szCs w:val="24"/>
        </w:rPr>
      </w:pPr>
      <w:r w:rsidRPr="00951103">
        <w:rPr>
          <w:rFonts w:ascii="Times New Roman" w:hAnsi="Times New Roman"/>
          <w:b/>
          <w:sz w:val="24"/>
          <w:szCs w:val="24"/>
        </w:rPr>
        <w:t xml:space="preserve">     </w:t>
      </w:r>
      <w:r w:rsidRPr="00951103">
        <w:rPr>
          <w:rFonts w:ascii="Times New Roman" w:hAnsi="Times New Roman"/>
          <w:sz w:val="24"/>
          <w:szCs w:val="24"/>
        </w:rPr>
        <w:t>Co:</w:t>
      </w:r>
      <w:r w:rsidRPr="00951103">
        <w:rPr>
          <w:rFonts w:ascii="Times New Roman" w:hAnsi="Times New Roman"/>
          <w:b/>
          <w:sz w:val="24"/>
          <w:szCs w:val="24"/>
        </w:rPr>
        <w:t xml:space="preserve">        </w:t>
      </w:r>
      <w:r w:rsidR="002A7501" w:rsidRPr="00951103">
        <w:rPr>
          <w:rFonts w:ascii="Times New Roman" w:hAnsi="Times New Roman"/>
          <w:b/>
          <w:sz w:val="24"/>
          <w:szCs w:val="24"/>
        </w:rPr>
        <w:t xml:space="preserve">                             </w:t>
      </w:r>
    </w:p>
    <w:p w:rsidR="003D3BE4" w:rsidRPr="00951103" w:rsidRDefault="003D3BE4" w:rsidP="003D3BE4">
      <w:pPr>
        <w:jc w:val="both"/>
        <w:rPr>
          <w:b/>
        </w:rPr>
      </w:pPr>
      <w:r w:rsidRPr="00951103">
        <w:t xml:space="preserve">   - Svim ponuđačima                                                      </w:t>
      </w:r>
      <w:r w:rsidRPr="00951103">
        <w:rPr>
          <w:b/>
        </w:rPr>
        <w:t>Predsjedavajući član</w:t>
      </w:r>
    </w:p>
    <w:p w:rsidR="003D3BE4" w:rsidRPr="00951103" w:rsidRDefault="003D3BE4" w:rsidP="003D3BE4">
      <w:pPr>
        <w:jc w:val="both"/>
      </w:pPr>
      <w:r w:rsidRPr="00951103">
        <w:t xml:space="preserve">   - Predsjedavajućem komisije                                         </w:t>
      </w:r>
    </w:p>
    <w:p w:rsidR="003D3BE4" w:rsidRPr="00951103" w:rsidRDefault="003D3BE4" w:rsidP="002C7CB8">
      <w:pPr>
        <w:jc w:val="both"/>
        <w:rPr>
          <w:color w:val="000000"/>
        </w:rPr>
      </w:pPr>
      <w:r w:rsidRPr="00951103">
        <w:t xml:space="preserve">   - a/a                                                                       </w:t>
      </w:r>
      <w:r w:rsidR="00951103">
        <w:rPr>
          <w:b/>
        </w:rPr>
        <w:t>Marija Lubarda</w:t>
      </w:r>
      <w:r w:rsidRPr="00951103">
        <w:rPr>
          <w:b/>
        </w:rPr>
        <w:t>, dipl.pravnik</w:t>
      </w:r>
      <w:r w:rsidRPr="00951103">
        <w:t xml:space="preserve">   </w:t>
      </w:r>
    </w:p>
    <w:p w:rsidR="00DB5D95" w:rsidRPr="00DB5D95" w:rsidRDefault="00DB5D95">
      <w:pPr>
        <w:jc w:val="both"/>
        <w:rPr>
          <w:rFonts w:ascii="Arial Narrow" w:hAnsi="Arial Narrow"/>
          <w:color w:val="000000"/>
        </w:rPr>
      </w:pPr>
    </w:p>
    <w:sectPr w:rsidR="00DB5D95" w:rsidRPr="00DB5D95"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AA" w:rsidRDefault="00942FAA" w:rsidP="002C2C3E">
      <w:r>
        <w:separator/>
      </w:r>
    </w:p>
  </w:endnote>
  <w:endnote w:type="continuationSeparator" w:id="0">
    <w:p w:rsidR="00942FAA" w:rsidRDefault="00942FAA"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altName w:val="Microsoft Sans Serif"/>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AA" w:rsidRDefault="00942FAA" w:rsidP="002C2C3E">
      <w:r>
        <w:separator/>
      </w:r>
    </w:p>
  </w:footnote>
  <w:footnote w:type="continuationSeparator" w:id="0">
    <w:p w:rsidR="00942FAA" w:rsidRDefault="00942FAA"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2"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70F6E"/>
    <w:multiLevelType w:val="hybridMultilevel"/>
    <w:tmpl w:val="B608DF78"/>
    <w:lvl w:ilvl="0" w:tplc="7B1A20A4">
      <w:start w:val="1"/>
      <w:numFmt w:val="decimal"/>
      <w:lvlText w:val="%1.)"/>
      <w:lvlJc w:val="left"/>
      <w:pPr>
        <w:ind w:left="735" w:hanging="375"/>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9"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15670"/>
    <w:multiLevelType w:val="hybridMultilevel"/>
    <w:tmpl w:val="70C2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A5584"/>
    <w:multiLevelType w:val="hybridMultilevel"/>
    <w:tmpl w:val="D258F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7"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3BC"/>
    <w:multiLevelType w:val="hybridMultilevel"/>
    <w:tmpl w:val="CC985D18"/>
    <w:lvl w:ilvl="0" w:tplc="26DC11E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4"/>
  </w:num>
  <w:num w:numId="5">
    <w:abstractNumId w:val="5"/>
  </w:num>
  <w:num w:numId="6">
    <w:abstractNumId w:val="9"/>
  </w:num>
  <w:num w:numId="7">
    <w:abstractNumId w:val="18"/>
  </w:num>
  <w:num w:numId="8">
    <w:abstractNumId w:val="0"/>
  </w:num>
  <w:num w:numId="9">
    <w:abstractNumId w:val="17"/>
  </w:num>
  <w:num w:numId="10">
    <w:abstractNumId w:val="12"/>
  </w:num>
  <w:num w:numId="11">
    <w:abstractNumId w:val="20"/>
  </w:num>
  <w:num w:numId="12">
    <w:abstractNumId w:val="16"/>
  </w:num>
  <w:num w:numId="13">
    <w:abstractNumId w:val="6"/>
  </w:num>
  <w:num w:numId="14">
    <w:abstractNumId w:val="13"/>
  </w:num>
  <w:num w:numId="15">
    <w:abstractNumId w:val="1"/>
  </w:num>
  <w:num w:numId="16">
    <w:abstractNumId w:val="4"/>
  </w:num>
  <w:num w:numId="17">
    <w:abstractNumId w:val="21"/>
  </w:num>
  <w:num w:numId="18">
    <w:abstractNumId w:val="19"/>
  </w:num>
  <w:num w:numId="19">
    <w:abstractNumId w:val="8"/>
  </w:num>
  <w:num w:numId="20">
    <w:abstractNumId w:val="7"/>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0717"/>
    <w:rsid w:val="00014007"/>
    <w:rsid w:val="00025E1A"/>
    <w:rsid w:val="000267CB"/>
    <w:rsid w:val="000305B9"/>
    <w:rsid w:val="000354A2"/>
    <w:rsid w:val="000366C2"/>
    <w:rsid w:val="00040E16"/>
    <w:rsid w:val="00042F7D"/>
    <w:rsid w:val="00054897"/>
    <w:rsid w:val="000573BD"/>
    <w:rsid w:val="0006040E"/>
    <w:rsid w:val="000727B0"/>
    <w:rsid w:val="00075A6A"/>
    <w:rsid w:val="000760F1"/>
    <w:rsid w:val="00076A31"/>
    <w:rsid w:val="000925AF"/>
    <w:rsid w:val="000951D4"/>
    <w:rsid w:val="000A0061"/>
    <w:rsid w:val="000B13A8"/>
    <w:rsid w:val="000B3E76"/>
    <w:rsid w:val="000C65A8"/>
    <w:rsid w:val="000D24A4"/>
    <w:rsid w:val="000E0CD0"/>
    <w:rsid w:val="000E23B8"/>
    <w:rsid w:val="000E445C"/>
    <w:rsid w:val="000F0566"/>
    <w:rsid w:val="000F2A96"/>
    <w:rsid w:val="00102787"/>
    <w:rsid w:val="00105FFA"/>
    <w:rsid w:val="0010797F"/>
    <w:rsid w:val="00114B53"/>
    <w:rsid w:val="00117E31"/>
    <w:rsid w:val="0012353B"/>
    <w:rsid w:val="00124BE7"/>
    <w:rsid w:val="0013385B"/>
    <w:rsid w:val="00134AA1"/>
    <w:rsid w:val="001466FF"/>
    <w:rsid w:val="00146933"/>
    <w:rsid w:val="00146FE1"/>
    <w:rsid w:val="00150423"/>
    <w:rsid w:val="00156B72"/>
    <w:rsid w:val="00161F8B"/>
    <w:rsid w:val="00163FBE"/>
    <w:rsid w:val="00164BE7"/>
    <w:rsid w:val="00166CFA"/>
    <w:rsid w:val="00191A30"/>
    <w:rsid w:val="001A0C0D"/>
    <w:rsid w:val="001B175F"/>
    <w:rsid w:val="001B7D08"/>
    <w:rsid w:val="001F32FB"/>
    <w:rsid w:val="001F3614"/>
    <w:rsid w:val="002079D2"/>
    <w:rsid w:val="00211D81"/>
    <w:rsid w:val="0022438A"/>
    <w:rsid w:val="00236922"/>
    <w:rsid w:val="00241A8A"/>
    <w:rsid w:val="00244FF2"/>
    <w:rsid w:val="00246EE3"/>
    <w:rsid w:val="00247280"/>
    <w:rsid w:val="00252676"/>
    <w:rsid w:val="00280382"/>
    <w:rsid w:val="00280B84"/>
    <w:rsid w:val="002858BF"/>
    <w:rsid w:val="00287368"/>
    <w:rsid w:val="00290E15"/>
    <w:rsid w:val="00292F5A"/>
    <w:rsid w:val="00295609"/>
    <w:rsid w:val="00295659"/>
    <w:rsid w:val="002A6F96"/>
    <w:rsid w:val="002A7501"/>
    <w:rsid w:val="002C0D32"/>
    <w:rsid w:val="002C12F2"/>
    <w:rsid w:val="002C2C3E"/>
    <w:rsid w:val="002C79FA"/>
    <w:rsid w:val="002C7CB8"/>
    <w:rsid w:val="002C7E5E"/>
    <w:rsid w:val="002E473A"/>
    <w:rsid w:val="002F21DE"/>
    <w:rsid w:val="002F3167"/>
    <w:rsid w:val="002F47A5"/>
    <w:rsid w:val="00301B84"/>
    <w:rsid w:val="00303B9D"/>
    <w:rsid w:val="00312B3A"/>
    <w:rsid w:val="00314C65"/>
    <w:rsid w:val="0032794E"/>
    <w:rsid w:val="00333CA6"/>
    <w:rsid w:val="00341A6A"/>
    <w:rsid w:val="0035013A"/>
    <w:rsid w:val="00356E9A"/>
    <w:rsid w:val="003614CD"/>
    <w:rsid w:val="003705D6"/>
    <w:rsid w:val="00371327"/>
    <w:rsid w:val="00372EE5"/>
    <w:rsid w:val="00374DE9"/>
    <w:rsid w:val="00383E54"/>
    <w:rsid w:val="003944C1"/>
    <w:rsid w:val="003B04CD"/>
    <w:rsid w:val="003B5E56"/>
    <w:rsid w:val="003B6083"/>
    <w:rsid w:val="003C3FCC"/>
    <w:rsid w:val="003D3BE4"/>
    <w:rsid w:val="003D736A"/>
    <w:rsid w:val="003E4610"/>
    <w:rsid w:val="003E5702"/>
    <w:rsid w:val="004016D0"/>
    <w:rsid w:val="0040582D"/>
    <w:rsid w:val="00411045"/>
    <w:rsid w:val="0042336F"/>
    <w:rsid w:val="00427860"/>
    <w:rsid w:val="00441986"/>
    <w:rsid w:val="00456560"/>
    <w:rsid w:val="0045713B"/>
    <w:rsid w:val="00463CAD"/>
    <w:rsid w:val="00465A1B"/>
    <w:rsid w:val="004672DD"/>
    <w:rsid w:val="004850A1"/>
    <w:rsid w:val="004852D1"/>
    <w:rsid w:val="004926F2"/>
    <w:rsid w:val="004930BC"/>
    <w:rsid w:val="00497DA9"/>
    <w:rsid w:val="004B38E2"/>
    <w:rsid w:val="004B5594"/>
    <w:rsid w:val="004B687A"/>
    <w:rsid w:val="004C3DF5"/>
    <w:rsid w:val="004C4B17"/>
    <w:rsid w:val="004C54F5"/>
    <w:rsid w:val="004C7F99"/>
    <w:rsid w:val="00500067"/>
    <w:rsid w:val="00503EC2"/>
    <w:rsid w:val="00504AFB"/>
    <w:rsid w:val="00505BD7"/>
    <w:rsid w:val="00513AE5"/>
    <w:rsid w:val="00515AAE"/>
    <w:rsid w:val="00520181"/>
    <w:rsid w:val="00521DFD"/>
    <w:rsid w:val="005322E8"/>
    <w:rsid w:val="00537797"/>
    <w:rsid w:val="00540F2F"/>
    <w:rsid w:val="005434B9"/>
    <w:rsid w:val="005436D8"/>
    <w:rsid w:val="00550AD1"/>
    <w:rsid w:val="00560DA5"/>
    <w:rsid w:val="005678F9"/>
    <w:rsid w:val="005735C4"/>
    <w:rsid w:val="00574802"/>
    <w:rsid w:val="00577E77"/>
    <w:rsid w:val="00584689"/>
    <w:rsid w:val="00585AD6"/>
    <w:rsid w:val="00592530"/>
    <w:rsid w:val="005A030D"/>
    <w:rsid w:val="005A0EA8"/>
    <w:rsid w:val="005A209B"/>
    <w:rsid w:val="005A33B8"/>
    <w:rsid w:val="005B22E8"/>
    <w:rsid w:val="005C4964"/>
    <w:rsid w:val="005C58A4"/>
    <w:rsid w:val="005D374D"/>
    <w:rsid w:val="005D4CAA"/>
    <w:rsid w:val="005F4CCE"/>
    <w:rsid w:val="00600DE3"/>
    <w:rsid w:val="00606DF5"/>
    <w:rsid w:val="0061064C"/>
    <w:rsid w:val="00626192"/>
    <w:rsid w:val="0063018A"/>
    <w:rsid w:val="00647AE7"/>
    <w:rsid w:val="00657754"/>
    <w:rsid w:val="00663243"/>
    <w:rsid w:val="0066679E"/>
    <w:rsid w:val="0067016F"/>
    <w:rsid w:val="00672766"/>
    <w:rsid w:val="006746FB"/>
    <w:rsid w:val="00677BFF"/>
    <w:rsid w:val="0068633D"/>
    <w:rsid w:val="006905A5"/>
    <w:rsid w:val="0069064E"/>
    <w:rsid w:val="00692E70"/>
    <w:rsid w:val="0069500D"/>
    <w:rsid w:val="006A3253"/>
    <w:rsid w:val="006A51EB"/>
    <w:rsid w:val="006C08AB"/>
    <w:rsid w:val="006C478E"/>
    <w:rsid w:val="006C5AEE"/>
    <w:rsid w:val="006C5FF4"/>
    <w:rsid w:val="006D3609"/>
    <w:rsid w:val="006E250D"/>
    <w:rsid w:val="006E2B8F"/>
    <w:rsid w:val="006F66DD"/>
    <w:rsid w:val="00704642"/>
    <w:rsid w:val="007049D8"/>
    <w:rsid w:val="007109DB"/>
    <w:rsid w:val="00722D2A"/>
    <w:rsid w:val="0072303D"/>
    <w:rsid w:val="00742015"/>
    <w:rsid w:val="007606B5"/>
    <w:rsid w:val="0076693D"/>
    <w:rsid w:val="007767CD"/>
    <w:rsid w:val="00780BEC"/>
    <w:rsid w:val="007A237A"/>
    <w:rsid w:val="007A368E"/>
    <w:rsid w:val="007A3E6B"/>
    <w:rsid w:val="007A4C3B"/>
    <w:rsid w:val="007A5811"/>
    <w:rsid w:val="007B2711"/>
    <w:rsid w:val="007C4924"/>
    <w:rsid w:val="007C75D9"/>
    <w:rsid w:val="007D1928"/>
    <w:rsid w:val="007D41B4"/>
    <w:rsid w:val="007D7A0E"/>
    <w:rsid w:val="007E65BF"/>
    <w:rsid w:val="007F08DE"/>
    <w:rsid w:val="008237B1"/>
    <w:rsid w:val="00827936"/>
    <w:rsid w:val="008347F4"/>
    <w:rsid w:val="00835DC9"/>
    <w:rsid w:val="00840CE4"/>
    <w:rsid w:val="008434E6"/>
    <w:rsid w:val="008450E4"/>
    <w:rsid w:val="008454E4"/>
    <w:rsid w:val="0084654A"/>
    <w:rsid w:val="00851B37"/>
    <w:rsid w:val="00861EC4"/>
    <w:rsid w:val="00870182"/>
    <w:rsid w:val="00871EF9"/>
    <w:rsid w:val="00881C96"/>
    <w:rsid w:val="00882C44"/>
    <w:rsid w:val="00886BF0"/>
    <w:rsid w:val="008969DC"/>
    <w:rsid w:val="00896D01"/>
    <w:rsid w:val="008A2FC7"/>
    <w:rsid w:val="008A5540"/>
    <w:rsid w:val="008A7E9C"/>
    <w:rsid w:val="008B3DD0"/>
    <w:rsid w:val="008B78B0"/>
    <w:rsid w:val="008D5E6D"/>
    <w:rsid w:val="008D7059"/>
    <w:rsid w:val="008D7B8A"/>
    <w:rsid w:val="008E4B49"/>
    <w:rsid w:val="008E4D69"/>
    <w:rsid w:val="008E57D5"/>
    <w:rsid w:val="008F031F"/>
    <w:rsid w:val="009015F3"/>
    <w:rsid w:val="009040C5"/>
    <w:rsid w:val="009144CC"/>
    <w:rsid w:val="009221C2"/>
    <w:rsid w:val="009307BD"/>
    <w:rsid w:val="00941337"/>
    <w:rsid w:val="00942FAA"/>
    <w:rsid w:val="00943FA7"/>
    <w:rsid w:val="009460E8"/>
    <w:rsid w:val="00951103"/>
    <w:rsid w:val="0095753E"/>
    <w:rsid w:val="0096510A"/>
    <w:rsid w:val="00991460"/>
    <w:rsid w:val="00993BCE"/>
    <w:rsid w:val="0099469E"/>
    <w:rsid w:val="009B0EDA"/>
    <w:rsid w:val="009B3DA4"/>
    <w:rsid w:val="009C5229"/>
    <w:rsid w:val="009D1C7E"/>
    <w:rsid w:val="009D2CAA"/>
    <w:rsid w:val="009D5B37"/>
    <w:rsid w:val="009D7CCF"/>
    <w:rsid w:val="009E5F9B"/>
    <w:rsid w:val="009F2369"/>
    <w:rsid w:val="009F6F09"/>
    <w:rsid w:val="00A0340E"/>
    <w:rsid w:val="00A11C6C"/>
    <w:rsid w:val="00A15AC6"/>
    <w:rsid w:val="00A43A4F"/>
    <w:rsid w:val="00A640E7"/>
    <w:rsid w:val="00A91511"/>
    <w:rsid w:val="00AA3333"/>
    <w:rsid w:val="00AA4224"/>
    <w:rsid w:val="00AB1916"/>
    <w:rsid w:val="00AB4E31"/>
    <w:rsid w:val="00AC683D"/>
    <w:rsid w:val="00AC7ADA"/>
    <w:rsid w:val="00AE211F"/>
    <w:rsid w:val="00AE7F6D"/>
    <w:rsid w:val="00AF1E62"/>
    <w:rsid w:val="00B01B98"/>
    <w:rsid w:val="00B071A4"/>
    <w:rsid w:val="00B12FCA"/>
    <w:rsid w:val="00B21196"/>
    <w:rsid w:val="00B26BEE"/>
    <w:rsid w:val="00B30043"/>
    <w:rsid w:val="00B328C6"/>
    <w:rsid w:val="00B33B75"/>
    <w:rsid w:val="00B34766"/>
    <w:rsid w:val="00B672D2"/>
    <w:rsid w:val="00B73B74"/>
    <w:rsid w:val="00B76239"/>
    <w:rsid w:val="00B867DC"/>
    <w:rsid w:val="00B9527A"/>
    <w:rsid w:val="00BA550E"/>
    <w:rsid w:val="00BB09A6"/>
    <w:rsid w:val="00BC7C23"/>
    <w:rsid w:val="00BD39F5"/>
    <w:rsid w:val="00BD7D44"/>
    <w:rsid w:val="00BE6D00"/>
    <w:rsid w:val="00BE6D12"/>
    <w:rsid w:val="00BF5501"/>
    <w:rsid w:val="00C015F6"/>
    <w:rsid w:val="00C0587E"/>
    <w:rsid w:val="00C149E0"/>
    <w:rsid w:val="00C15442"/>
    <w:rsid w:val="00C2761E"/>
    <w:rsid w:val="00C51464"/>
    <w:rsid w:val="00C53332"/>
    <w:rsid w:val="00C54754"/>
    <w:rsid w:val="00C55372"/>
    <w:rsid w:val="00C67403"/>
    <w:rsid w:val="00C719C0"/>
    <w:rsid w:val="00C851FE"/>
    <w:rsid w:val="00C86F00"/>
    <w:rsid w:val="00C87CCF"/>
    <w:rsid w:val="00CA0C29"/>
    <w:rsid w:val="00CA1148"/>
    <w:rsid w:val="00CA1D3C"/>
    <w:rsid w:val="00CB2A9A"/>
    <w:rsid w:val="00CB3C9F"/>
    <w:rsid w:val="00CB5EC7"/>
    <w:rsid w:val="00CC5D45"/>
    <w:rsid w:val="00CE154D"/>
    <w:rsid w:val="00CE7FE2"/>
    <w:rsid w:val="00CF3211"/>
    <w:rsid w:val="00D13AEE"/>
    <w:rsid w:val="00D20330"/>
    <w:rsid w:val="00D21A1A"/>
    <w:rsid w:val="00D23DD1"/>
    <w:rsid w:val="00D42959"/>
    <w:rsid w:val="00D56A72"/>
    <w:rsid w:val="00D85170"/>
    <w:rsid w:val="00D960DB"/>
    <w:rsid w:val="00DA3BBC"/>
    <w:rsid w:val="00DB0E62"/>
    <w:rsid w:val="00DB5D95"/>
    <w:rsid w:val="00DC48FE"/>
    <w:rsid w:val="00DD0865"/>
    <w:rsid w:val="00DD5962"/>
    <w:rsid w:val="00DF1DEC"/>
    <w:rsid w:val="00DF297D"/>
    <w:rsid w:val="00E16A97"/>
    <w:rsid w:val="00E171A6"/>
    <w:rsid w:val="00E31E4E"/>
    <w:rsid w:val="00E450CE"/>
    <w:rsid w:val="00E47E59"/>
    <w:rsid w:val="00E53D89"/>
    <w:rsid w:val="00E64759"/>
    <w:rsid w:val="00E65B71"/>
    <w:rsid w:val="00E65DC1"/>
    <w:rsid w:val="00E66A1E"/>
    <w:rsid w:val="00E91930"/>
    <w:rsid w:val="00EA7F4B"/>
    <w:rsid w:val="00EB425C"/>
    <w:rsid w:val="00EC099E"/>
    <w:rsid w:val="00EC09FF"/>
    <w:rsid w:val="00ED3E5E"/>
    <w:rsid w:val="00EE3B00"/>
    <w:rsid w:val="00EE45A5"/>
    <w:rsid w:val="00EF091A"/>
    <w:rsid w:val="00EF640D"/>
    <w:rsid w:val="00EF6561"/>
    <w:rsid w:val="00EF7099"/>
    <w:rsid w:val="00F03C69"/>
    <w:rsid w:val="00F11C7E"/>
    <w:rsid w:val="00F12629"/>
    <w:rsid w:val="00F2407D"/>
    <w:rsid w:val="00F279BF"/>
    <w:rsid w:val="00F34F38"/>
    <w:rsid w:val="00F45B3D"/>
    <w:rsid w:val="00F4796A"/>
    <w:rsid w:val="00F512E0"/>
    <w:rsid w:val="00F534F0"/>
    <w:rsid w:val="00F604B3"/>
    <w:rsid w:val="00F72173"/>
    <w:rsid w:val="00F7636F"/>
    <w:rsid w:val="00F83BC2"/>
    <w:rsid w:val="00F87457"/>
    <w:rsid w:val="00FB2B74"/>
    <w:rsid w:val="00FB5816"/>
    <w:rsid w:val="00FB606A"/>
    <w:rsid w:val="00FC1D45"/>
    <w:rsid w:val="00FD4A8C"/>
    <w:rsid w:val="00FE2FEC"/>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5CBF"/>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semiHidden/>
    <w:unhideWhenUsed/>
    <w:qFormat/>
    <w:rsid w:val="000E23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qFormat/>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qFormat/>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0E23B8"/>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481732194">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EFDB-19DF-4D69-A482-74076933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6</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 Bulatović</cp:lastModifiedBy>
  <cp:revision>152</cp:revision>
  <cp:lastPrinted>2023-06-27T10:47:00Z</cp:lastPrinted>
  <dcterms:created xsi:type="dcterms:W3CDTF">2023-02-28T06:29:00Z</dcterms:created>
  <dcterms:modified xsi:type="dcterms:W3CDTF">2023-06-27T10:52:00Z</dcterms:modified>
</cp:coreProperties>
</file>