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E4E" w:rsidRPr="00DB5D95" w:rsidRDefault="00E31E4E" w:rsidP="00E31E4E">
      <w:pPr>
        <w:rPr>
          <w:rFonts w:ascii="Arial Narrow" w:eastAsia="Arial Unicode MS" w:hAnsi="Arial Narrow"/>
          <w:b/>
          <w:bCs/>
          <w:lang w:val="sr-Latn-ME"/>
        </w:rPr>
      </w:pPr>
      <w:r w:rsidRPr="00DB5D95">
        <w:rPr>
          <w:rFonts w:ascii="Arial Narrow" w:hAnsi="Arial Narrow"/>
          <w:noProof/>
        </w:rPr>
        <w:drawing>
          <wp:inline distT="0" distB="0" distL="0" distR="0" wp14:anchorId="01DCBD32" wp14:editId="0C52D77F">
            <wp:extent cx="809625" cy="276225"/>
            <wp:effectExtent l="0" t="0" r="9525" b="9525"/>
            <wp:docPr id="2"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p>
    <w:p w:rsidR="00592530" w:rsidRPr="00EE204A" w:rsidRDefault="00F83BC2" w:rsidP="00592530">
      <w:pPr>
        <w:keepNext/>
        <w:outlineLvl w:val="1"/>
        <w:rPr>
          <w:b/>
          <w:bCs/>
          <w:lang w:val="sr-Latn-ME"/>
        </w:rPr>
      </w:pPr>
      <w:r w:rsidRPr="00EE204A">
        <w:rPr>
          <w:b/>
          <w:bCs/>
          <w:lang w:val="sr-Latn-ME"/>
        </w:rPr>
        <w:t>Broj: 60-00-</w:t>
      </w:r>
      <w:r w:rsidR="006A0232">
        <w:rPr>
          <w:b/>
          <w:bCs/>
          <w:lang w:val="sr-Latn-ME"/>
        </w:rPr>
        <w:t>504</w:t>
      </w:r>
    </w:p>
    <w:p w:rsidR="00E31E4E" w:rsidRPr="00EE204A" w:rsidRDefault="00150423" w:rsidP="00592530">
      <w:pPr>
        <w:keepNext/>
        <w:outlineLvl w:val="1"/>
        <w:rPr>
          <w:b/>
          <w:bCs/>
          <w:lang w:val="sr-Latn-ME"/>
        </w:rPr>
      </w:pPr>
      <w:r w:rsidRPr="00EE204A">
        <w:rPr>
          <w:b/>
          <w:bCs/>
          <w:lang w:val="sr-Latn-ME"/>
        </w:rPr>
        <w:t xml:space="preserve">Podgorica, </w:t>
      </w:r>
      <w:r w:rsidR="004B1E5B">
        <w:rPr>
          <w:b/>
          <w:bCs/>
          <w:lang w:val="sr-Latn-ME"/>
        </w:rPr>
        <w:t>10</w:t>
      </w:r>
      <w:r w:rsidR="00E31E4E" w:rsidRPr="00EE204A">
        <w:rPr>
          <w:b/>
          <w:bCs/>
          <w:lang w:val="sr-Latn-ME"/>
        </w:rPr>
        <w:t>.</w:t>
      </w:r>
      <w:r w:rsidR="004B1E5B">
        <w:rPr>
          <w:b/>
          <w:bCs/>
          <w:lang w:val="sr-Latn-ME"/>
        </w:rPr>
        <w:t>01.</w:t>
      </w:r>
      <w:r w:rsidR="00E31E4E" w:rsidRPr="00EE204A">
        <w:rPr>
          <w:b/>
          <w:bCs/>
          <w:lang w:val="sr-Latn-ME"/>
        </w:rPr>
        <w:t>202</w:t>
      </w:r>
      <w:r w:rsidR="004B1E5B">
        <w:rPr>
          <w:b/>
          <w:bCs/>
          <w:lang w:val="sr-Latn-ME"/>
        </w:rPr>
        <w:t>4</w:t>
      </w:r>
      <w:r w:rsidR="00E31E4E" w:rsidRPr="00EE204A">
        <w:rPr>
          <w:b/>
          <w:bCs/>
          <w:lang w:val="sr-Latn-ME"/>
        </w:rPr>
        <w:t>. godine</w:t>
      </w:r>
    </w:p>
    <w:p w:rsidR="00E31E4E" w:rsidRPr="00EE204A" w:rsidRDefault="00E31E4E" w:rsidP="00E31E4E">
      <w:pPr>
        <w:rPr>
          <w:color w:val="000000"/>
        </w:rPr>
      </w:pPr>
    </w:p>
    <w:p w:rsidR="00E31E4E" w:rsidRPr="00EE204A" w:rsidRDefault="005C4964" w:rsidP="00E31E4E">
      <w:pPr>
        <w:tabs>
          <w:tab w:val="left" w:pos="3750"/>
        </w:tabs>
        <w:jc w:val="both"/>
        <w:outlineLvl w:val="0"/>
      </w:pPr>
      <w:r w:rsidRPr="00EE204A">
        <w:t xml:space="preserve">Na osnovu člana 94 Zakona o javnim nabavkama </w:t>
      </w:r>
      <w:r w:rsidR="0061064C" w:rsidRPr="00EE204A">
        <w:t>("Službeni list Crne Gore", br. 074/19 od 30.12.2019, 003/23 od 10.01.2023, 011/23 od 27.01.2023)</w:t>
      </w:r>
      <w:r w:rsidR="00E31E4E" w:rsidRPr="00EE204A">
        <w:t xml:space="preserve">, CEDIS d.o.o Podgorica donosi sljedeću  </w:t>
      </w:r>
    </w:p>
    <w:p w:rsidR="00E31E4E" w:rsidRPr="00EE204A" w:rsidRDefault="00E31E4E" w:rsidP="00E31E4E">
      <w:pPr>
        <w:tabs>
          <w:tab w:val="left" w:pos="3750"/>
        </w:tabs>
        <w:jc w:val="both"/>
        <w:outlineLvl w:val="0"/>
      </w:pPr>
    </w:p>
    <w:p w:rsidR="00E31E4E" w:rsidRPr="00EE204A" w:rsidRDefault="00E31E4E" w:rsidP="00E31E4E">
      <w:pPr>
        <w:tabs>
          <w:tab w:val="left" w:pos="3750"/>
        </w:tabs>
        <w:jc w:val="center"/>
        <w:outlineLvl w:val="0"/>
        <w:rPr>
          <w:b/>
        </w:rPr>
      </w:pPr>
      <w:r w:rsidRPr="00EE204A">
        <w:rPr>
          <w:b/>
        </w:rPr>
        <w:t>IZMJENU</w:t>
      </w:r>
      <w:r w:rsidR="00870975">
        <w:rPr>
          <w:b/>
        </w:rPr>
        <w:t xml:space="preserve"> </w:t>
      </w:r>
      <w:r w:rsidR="00087D52">
        <w:rPr>
          <w:b/>
        </w:rPr>
        <w:t>TENDERSKE DOKUMENTACIJE</w:t>
      </w:r>
    </w:p>
    <w:p w:rsidR="00E31E4E" w:rsidRPr="00EE204A" w:rsidRDefault="00E31E4E" w:rsidP="00E31E4E">
      <w:pPr>
        <w:rPr>
          <w:b/>
          <w:color w:val="000000"/>
        </w:rPr>
      </w:pPr>
    </w:p>
    <w:p w:rsidR="00B071A4" w:rsidRPr="00EE204A" w:rsidRDefault="00E31E4E" w:rsidP="00600DE3">
      <w:pPr>
        <w:jc w:val="both"/>
        <w:rPr>
          <w:b/>
          <w:color w:val="000000" w:themeColor="text1"/>
          <w:lang w:val="sr-Latn-ME"/>
        </w:rPr>
      </w:pPr>
      <w:r w:rsidRPr="00EE204A">
        <w:t xml:space="preserve">Tenderske dokumentacije </w:t>
      </w:r>
      <w:r w:rsidR="000760F1" w:rsidRPr="00D86F56">
        <w:rPr>
          <w:color w:val="000000" w:themeColor="text1"/>
          <w:lang w:val="sr-Latn-ME"/>
        </w:rPr>
        <w:t>br.</w:t>
      </w:r>
      <w:r w:rsidR="000760F1" w:rsidRPr="00EE204A">
        <w:rPr>
          <w:b/>
          <w:color w:val="000000" w:themeColor="text1"/>
          <w:lang w:val="sr-Latn-ME"/>
        </w:rPr>
        <w:t xml:space="preserve"> </w:t>
      </w:r>
      <w:r w:rsidR="00D86F56" w:rsidRPr="00D86F56">
        <w:rPr>
          <w:b/>
          <w:color w:val="000000" w:themeColor="text1"/>
          <w:lang w:val="sr-Latn-ME"/>
        </w:rPr>
        <w:t>1</w:t>
      </w:r>
      <w:r w:rsidR="00757301">
        <w:rPr>
          <w:b/>
          <w:color w:val="000000" w:themeColor="text1"/>
          <w:lang w:val="sr-Latn-ME"/>
        </w:rPr>
        <w:t>46</w:t>
      </w:r>
      <w:r w:rsidR="00D86F56" w:rsidRPr="00D86F56">
        <w:rPr>
          <w:b/>
          <w:color w:val="000000" w:themeColor="text1"/>
          <w:lang w:val="sr-Latn-ME"/>
        </w:rPr>
        <w:t xml:space="preserve">/23 od </w:t>
      </w:r>
      <w:r w:rsidR="004B1E5B">
        <w:rPr>
          <w:b/>
          <w:color w:val="000000" w:themeColor="text1"/>
          <w:lang w:val="sr-Latn-ME"/>
        </w:rPr>
        <w:t>1</w:t>
      </w:r>
      <w:r w:rsidR="00757301">
        <w:rPr>
          <w:b/>
          <w:color w:val="000000" w:themeColor="text1"/>
          <w:lang w:val="sr-Latn-ME"/>
        </w:rPr>
        <w:t>9</w:t>
      </w:r>
      <w:r w:rsidR="00D86F56" w:rsidRPr="00D86F56">
        <w:rPr>
          <w:b/>
          <w:color w:val="000000" w:themeColor="text1"/>
          <w:lang w:val="sr-Latn-ME"/>
        </w:rPr>
        <w:t>.12.2023</w:t>
      </w:r>
      <w:r w:rsidR="000760F1" w:rsidRPr="00EE204A">
        <w:rPr>
          <w:b/>
          <w:lang w:val="sr-Latn-ME"/>
        </w:rPr>
        <w:t xml:space="preserve">. godine </w:t>
      </w:r>
      <w:r w:rsidR="000760F1" w:rsidRPr="00EE204A">
        <w:rPr>
          <w:b/>
          <w:color w:val="000000" w:themeColor="text1"/>
          <w:lang w:val="sr-Latn-ME"/>
        </w:rPr>
        <w:t xml:space="preserve">– </w:t>
      </w:r>
      <w:r w:rsidR="000760F1" w:rsidRPr="00D86F56">
        <w:rPr>
          <w:color w:val="000000" w:themeColor="text1"/>
          <w:lang w:val="sr-Latn-ME"/>
        </w:rPr>
        <w:t xml:space="preserve">za otvoreni postupak javne nabavke </w:t>
      </w:r>
      <w:r w:rsidR="00DB5D95" w:rsidRPr="00D86F56">
        <w:rPr>
          <w:color w:val="000000" w:themeColor="text1"/>
          <w:lang w:val="sr-Latn-ME"/>
        </w:rPr>
        <w:t>usluga</w:t>
      </w:r>
      <w:r w:rsidR="000760F1" w:rsidRPr="00D86F56">
        <w:rPr>
          <w:color w:val="000000" w:themeColor="text1"/>
          <w:lang w:val="sr-Latn-ME"/>
        </w:rPr>
        <w:t xml:space="preserve"> </w:t>
      </w:r>
      <w:r w:rsidR="000760F1" w:rsidRPr="00EE204A">
        <w:rPr>
          <w:b/>
          <w:color w:val="000000" w:themeColor="text1"/>
          <w:lang w:val="sr-Latn-ME"/>
        </w:rPr>
        <w:t xml:space="preserve">– </w:t>
      </w:r>
      <w:r w:rsidR="00757301" w:rsidRPr="00757301">
        <w:rPr>
          <w:b/>
          <w:bCs/>
          <w:color w:val="000000"/>
        </w:rPr>
        <w:t>MBTS 10/0.4kV ,1x630kVA „ŠTOJSKI BUNAR" SA UKLAPANJEM U 10KV I 0.4KV MREŽU - ULCINJ</w:t>
      </w:r>
    </w:p>
    <w:p w:rsidR="008744B5" w:rsidRPr="007C3EF9" w:rsidRDefault="008744B5" w:rsidP="008744B5">
      <w:pPr>
        <w:rPr>
          <w:sz w:val="16"/>
          <w:lang w:val="sr-Latn-CS"/>
        </w:rPr>
      </w:pPr>
    </w:p>
    <w:p w:rsidR="008744B5" w:rsidRPr="00BF4A92" w:rsidRDefault="001B7385" w:rsidP="00BF4A92">
      <w:pPr>
        <w:pStyle w:val="ListParagraph"/>
        <w:numPr>
          <w:ilvl w:val="0"/>
          <w:numId w:val="23"/>
        </w:numPr>
        <w:jc w:val="both"/>
        <w:rPr>
          <w:lang w:val="sr-Latn-CS"/>
        </w:rPr>
      </w:pPr>
      <w:r w:rsidRPr="00BF4A92">
        <w:rPr>
          <w:lang w:val="sl-SI"/>
        </w:rPr>
        <w:t xml:space="preserve">Vrši se izmjena Tenderske dokumentacije na portalu CeJN u dijelu </w:t>
      </w:r>
      <w:r w:rsidRPr="00BF4A92">
        <w:rPr>
          <w:bCs/>
        </w:rPr>
        <w:t xml:space="preserve">TEHNIČKA SPECIFIKACIJA PREDMETA NABAVKE u dijelu </w:t>
      </w:r>
      <w:r w:rsidRPr="00BF4A92">
        <w:rPr>
          <w:b/>
          <w:bCs/>
        </w:rPr>
        <w:t>BITNE KARAKTERISTIKE PREDMETA NABAVKE</w:t>
      </w:r>
      <w:r w:rsidR="00317A76" w:rsidRPr="00BF4A92">
        <w:rPr>
          <w:b/>
          <w:bCs/>
        </w:rPr>
        <w:t xml:space="preserve"> </w:t>
      </w:r>
      <w:r w:rsidR="00317A76" w:rsidRPr="00BF4A92">
        <w:rPr>
          <w:bCs/>
        </w:rPr>
        <w:t>za stavku</w:t>
      </w:r>
      <w:r w:rsidRPr="00BF4A92">
        <w:rPr>
          <w:bCs/>
        </w:rPr>
        <w:t xml:space="preserve"> br</w:t>
      </w:r>
      <w:r w:rsidRPr="00BF4A92">
        <w:rPr>
          <w:b/>
          <w:bCs/>
        </w:rPr>
        <w:t>. 64</w:t>
      </w:r>
      <w:r w:rsidRPr="00BF4A92">
        <w:rPr>
          <w:bCs/>
        </w:rPr>
        <w:t xml:space="preserve"> i </w:t>
      </w:r>
      <w:r w:rsidR="00317A76" w:rsidRPr="00BF4A92">
        <w:rPr>
          <w:bCs/>
        </w:rPr>
        <w:t xml:space="preserve">za stavku </w:t>
      </w:r>
      <w:r w:rsidRPr="00BF4A92">
        <w:rPr>
          <w:bCs/>
        </w:rPr>
        <w:t xml:space="preserve">br. </w:t>
      </w:r>
      <w:r w:rsidR="00317A76" w:rsidRPr="00BF4A92">
        <w:rPr>
          <w:b/>
          <w:bCs/>
        </w:rPr>
        <w:t>79</w:t>
      </w:r>
      <w:r w:rsidRPr="00BF4A92">
        <w:rPr>
          <w:bCs/>
        </w:rPr>
        <w:t xml:space="preserve">  </w:t>
      </w:r>
      <w:r w:rsidR="00317A76" w:rsidRPr="007C3EF9">
        <w:t>koje su glasile</w:t>
      </w:r>
      <w:r w:rsidR="00D47A38" w:rsidRPr="00BF4A92">
        <w:rPr>
          <w:lang w:val="sr-Latn-CS"/>
        </w:rPr>
        <w:t>:</w:t>
      </w:r>
    </w:p>
    <w:p w:rsidR="00D86F56" w:rsidRDefault="00D86F56" w:rsidP="00D86F56">
      <w:pPr>
        <w:jc w:val="both"/>
        <w:rPr>
          <w:b/>
          <w:lang w:val="sr-Latn-CS"/>
        </w:rPr>
      </w:pPr>
    </w:p>
    <w:tbl>
      <w:tblPr>
        <w:tblW w:w="8973"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40"/>
        <w:gridCol w:w="3322"/>
        <w:gridCol w:w="3930"/>
        <w:gridCol w:w="881"/>
      </w:tblGrid>
      <w:tr w:rsidR="009E2AB5" w:rsidRPr="007C3EF9" w:rsidTr="007C3EF9">
        <w:trPr>
          <w:trHeight w:val="642"/>
          <w:tblCellSpacing w:w="15" w:type="dxa"/>
        </w:trPr>
        <w:tc>
          <w:tcPr>
            <w:tcW w:w="795" w:type="dxa"/>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317A76" w:rsidRPr="007C3EF9" w:rsidRDefault="00317A76" w:rsidP="009E2AB5">
            <w:pPr>
              <w:jc w:val="both"/>
              <w:rPr>
                <w:sz w:val="22"/>
              </w:rPr>
            </w:pPr>
            <w:r w:rsidRPr="007C3EF9">
              <w:rPr>
                <w:sz w:val="22"/>
              </w:rPr>
              <w:t>64</w:t>
            </w:r>
          </w:p>
        </w:tc>
        <w:tc>
          <w:tcPr>
            <w:tcW w:w="3292" w:type="dxa"/>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317A76" w:rsidRPr="007C3EF9" w:rsidRDefault="00317A76" w:rsidP="009E2AB5">
            <w:pPr>
              <w:jc w:val="both"/>
              <w:rPr>
                <w:sz w:val="22"/>
              </w:rPr>
            </w:pPr>
            <w:r w:rsidRPr="007C3EF9">
              <w:rPr>
                <w:sz w:val="22"/>
              </w:rPr>
              <w:t>NDTS 10/0.4 kV; 1x630kVA Građevnski radovi</w:t>
            </w:r>
          </w:p>
        </w:tc>
        <w:tc>
          <w:tcPr>
            <w:tcW w:w="3900" w:type="dxa"/>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317A76" w:rsidRPr="007C3EF9" w:rsidRDefault="00317A76" w:rsidP="007C3EF9">
            <w:pPr>
              <w:jc w:val="both"/>
              <w:rPr>
                <w:sz w:val="22"/>
              </w:rPr>
            </w:pPr>
            <w:r w:rsidRPr="007C3EF9">
              <w:rPr>
                <w:sz w:val="22"/>
              </w:rPr>
              <w:t>Isporuka i montaža prefabrikovanog betonskog kućišta za transformatorsku stanicu, vanjsko posluživanje, sa betonskim krovom, Al bravarijom dimenzija ne većih od 3000x2500x2800 mm. Ukupno za materijal I rad:</w:t>
            </w:r>
          </w:p>
        </w:tc>
        <w:tc>
          <w:tcPr>
            <w:tcW w:w="836" w:type="dxa"/>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317A76" w:rsidRPr="007C3EF9" w:rsidRDefault="00317A76" w:rsidP="00F34EC8">
            <w:pPr>
              <w:jc w:val="both"/>
              <w:rPr>
                <w:sz w:val="22"/>
              </w:rPr>
            </w:pPr>
            <w:r w:rsidRPr="007C3EF9">
              <w:rPr>
                <w:sz w:val="22"/>
              </w:rPr>
              <w:t>1 kom</w:t>
            </w:r>
          </w:p>
        </w:tc>
      </w:tr>
    </w:tbl>
    <w:p w:rsidR="00087D52" w:rsidRDefault="00087D52" w:rsidP="00D47A38">
      <w:pPr>
        <w:ind w:left="720"/>
        <w:jc w:val="both"/>
        <w:rPr>
          <w:b/>
          <w:lang w:val="sr-Latn-CS"/>
        </w:rPr>
      </w:pPr>
    </w:p>
    <w:tbl>
      <w:tblPr>
        <w:tblW w:w="8992"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35"/>
        <w:gridCol w:w="3394"/>
        <w:gridCol w:w="3858"/>
        <w:gridCol w:w="905"/>
      </w:tblGrid>
      <w:tr w:rsidR="00EA719B" w:rsidRPr="007C3EF9" w:rsidTr="00EA719B">
        <w:trPr>
          <w:trHeight w:val="720"/>
          <w:tblCellSpacing w:w="15" w:type="dxa"/>
        </w:trPr>
        <w:tc>
          <w:tcPr>
            <w:tcW w:w="590" w:type="dxa"/>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9E2AB5" w:rsidRPr="007C3EF9" w:rsidRDefault="009E2AB5" w:rsidP="009E2AB5">
            <w:pPr>
              <w:jc w:val="both"/>
              <w:rPr>
                <w:sz w:val="22"/>
                <w:szCs w:val="22"/>
              </w:rPr>
            </w:pPr>
            <w:r w:rsidRPr="007C3EF9">
              <w:rPr>
                <w:sz w:val="22"/>
                <w:szCs w:val="22"/>
              </w:rPr>
              <w:t>79</w:t>
            </w:r>
          </w:p>
        </w:tc>
        <w:tc>
          <w:tcPr>
            <w:tcW w:w="3465" w:type="dxa"/>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9E2AB5" w:rsidRPr="007C3EF9" w:rsidRDefault="009E2AB5" w:rsidP="009E2AB5">
            <w:pPr>
              <w:jc w:val="both"/>
              <w:rPr>
                <w:sz w:val="22"/>
                <w:szCs w:val="22"/>
              </w:rPr>
            </w:pPr>
            <w:r w:rsidRPr="007C3EF9">
              <w:rPr>
                <w:sz w:val="22"/>
                <w:szCs w:val="22"/>
              </w:rPr>
              <w:t>NDTS 10/0.4 kV; 1x630kVA NN BLOK</w:t>
            </w:r>
          </w:p>
        </w:tc>
        <w:tc>
          <w:tcPr>
            <w:tcW w:w="3915" w:type="dxa"/>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9E2AB5" w:rsidRPr="00EA719B" w:rsidRDefault="009E2AB5" w:rsidP="009E2AB5">
            <w:pPr>
              <w:jc w:val="both"/>
              <w:rPr>
                <w:sz w:val="22"/>
                <w:szCs w:val="22"/>
              </w:rPr>
            </w:pPr>
            <w:r w:rsidRPr="00EA719B">
              <w:rPr>
                <w:sz w:val="22"/>
                <w:szCs w:val="22"/>
              </w:rPr>
              <w:t xml:space="preserve">Isporuka i montaža NN bloka, izvedenog prema nacrtu u prilogu, sa 0.4 kV sabirnicama i elementima prema opisu, i sljedećim tehničkim podacima: - naznačeni napon 400 V - naznačena frekvencija 50 Hz - naznačena struja glavnih odvoda 400/630 A - naznačena kratkotrajno podnosiva struja 50 kA/ 1 s - stepen zaštite IP 20 Blok je slobodnostojeći predviđen za pričvršćenje na konstrukciju kućice. Izrađen je od nerđajućeg materijala. Osnovne dimenzije sklopnog bloka su: 1500 x 1600 x500 mm (širina x visina x dubina) Sklopni blok sadrži sledeće elemente: Trafo polje: Tropolni zaštitni prekidač (3P), nazivne struje 1250A prekidne moći 50kA, Ics=100%Icu, kom 1;mikroprocesorska kontrolna jedinica : kom 1;Priključak na prekidač - gornji kom 1;Interfazna barijera kom 1;Strujni transformator 1000/5A kom 6;Multimetar sa impulsnim izlazom kom 1;Udarni taster kom 1;Kontaktni blok za udarni taster kom 1;Nosač kom 1; Polje </w:t>
            </w:r>
            <w:r w:rsidRPr="00EA719B">
              <w:rPr>
                <w:sz w:val="22"/>
                <w:szCs w:val="22"/>
              </w:rPr>
              <w:lastRenderedPageBreak/>
              <w:t>odvoda:Osiguračka letva 630A 3P 185MM kom 2;Osiguračka letva 400A 3P 185MM kom 6;Osiguračka letva za javnu rasvjetu 160/80A kom 1;Osiguračka letva za kompenzaciju 160/100A kom 1;Osigurački rastavljač za odvodnike prenapona 63/40A kom 1;Sab. za napajanje ; Poluindirektno mjerenje 5A isporučuje Investitor - kom 1 kom ;mjerna priključna kutija (šajda) kom 1;Stavkom obuhvatiti provodnike i sav sitan materijal neophodan za ugradnju i povezivanje navedene opreme. Ukupno za isporuku i montažu NN bloka:</w:t>
            </w:r>
          </w:p>
        </w:tc>
        <w:tc>
          <w:tcPr>
            <w:tcW w:w="872" w:type="dxa"/>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9E2AB5" w:rsidRPr="00EA719B" w:rsidRDefault="00F34EC8" w:rsidP="00F34EC8">
            <w:pPr>
              <w:jc w:val="both"/>
              <w:rPr>
                <w:sz w:val="22"/>
                <w:szCs w:val="22"/>
              </w:rPr>
            </w:pPr>
            <w:r w:rsidRPr="00EA719B">
              <w:rPr>
                <w:sz w:val="22"/>
                <w:szCs w:val="22"/>
              </w:rPr>
              <w:lastRenderedPageBreak/>
              <w:t xml:space="preserve">1 </w:t>
            </w:r>
            <w:r w:rsidR="009E2AB5" w:rsidRPr="00EA719B">
              <w:rPr>
                <w:sz w:val="22"/>
                <w:szCs w:val="22"/>
              </w:rPr>
              <w:t>kom</w:t>
            </w:r>
          </w:p>
        </w:tc>
      </w:tr>
    </w:tbl>
    <w:p w:rsidR="00200780" w:rsidRDefault="00200780" w:rsidP="00200780">
      <w:pPr>
        <w:jc w:val="both"/>
        <w:rPr>
          <w:b/>
          <w:lang w:val="sr-Latn-CS"/>
        </w:rPr>
      </w:pPr>
    </w:p>
    <w:p w:rsidR="00D86F56" w:rsidRDefault="00EA719B" w:rsidP="00D47A38">
      <w:pPr>
        <w:ind w:left="720"/>
        <w:jc w:val="both"/>
        <w:rPr>
          <w:b/>
          <w:lang w:val="sr-Latn-CS"/>
        </w:rPr>
      </w:pPr>
      <w:r>
        <w:rPr>
          <w:b/>
          <w:lang w:val="sl-SI"/>
        </w:rPr>
        <w:t>Nakon izmjene glase</w:t>
      </w:r>
      <w:r w:rsidR="00D86F56">
        <w:rPr>
          <w:b/>
          <w:lang w:val="sr-Latn-CS"/>
        </w:rPr>
        <w:t>:</w:t>
      </w:r>
    </w:p>
    <w:p w:rsidR="00200780" w:rsidRDefault="00200780" w:rsidP="00D47A38">
      <w:pPr>
        <w:ind w:left="720"/>
        <w:jc w:val="both"/>
        <w:rPr>
          <w:b/>
          <w:lang w:val="sr-Latn-CS"/>
        </w:rPr>
      </w:pPr>
    </w:p>
    <w:tbl>
      <w:tblPr>
        <w:tblW w:w="8973"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40"/>
        <w:gridCol w:w="3322"/>
        <w:gridCol w:w="3930"/>
        <w:gridCol w:w="881"/>
      </w:tblGrid>
      <w:tr w:rsidR="00200780" w:rsidRPr="007C3EF9" w:rsidTr="00C62015">
        <w:trPr>
          <w:trHeight w:val="642"/>
          <w:tblCellSpacing w:w="15" w:type="dxa"/>
        </w:trPr>
        <w:tc>
          <w:tcPr>
            <w:tcW w:w="795" w:type="dxa"/>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200780" w:rsidRPr="007C3EF9" w:rsidRDefault="00200780" w:rsidP="00C62015">
            <w:pPr>
              <w:jc w:val="both"/>
              <w:rPr>
                <w:sz w:val="22"/>
              </w:rPr>
            </w:pPr>
            <w:r w:rsidRPr="007C3EF9">
              <w:rPr>
                <w:sz w:val="22"/>
              </w:rPr>
              <w:t>64</w:t>
            </w:r>
          </w:p>
        </w:tc>
        <w:tc>
          <w:tcPr>
            <w:tcW w:w="3292" w:type="dxa"/>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200780" w:rsidRPr="007C3EF9" w:rsidRDefault="00200780" w:rsidP="00C62015">
            <w:pPr>
              <w:jc w:val="both"/>
              <w:rPr>
                <w:sz w:val="22"/>
              </w:rPr>
            </w:pPr>
            <w:r w:rsidRPr="007C3EF9">
              <w:rPr>
                <w:sz w:val="22"/>
              </w:rPr>
              <w:t>NDTS 10/0.4 kV; 1x630kVA Građevnski radovi</w:t>
            </w:r>
          </w:p>
        </w:tc>
        <w:tc>
          <w:tcPr>
            <w:tcW w:w="3900" w:type="dxa"/>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200780" w:rsidRPr="007C3EF9" w:rsidRDefault="00A72481" w:rsidP="00C62015">
            <w:pPr>
              <w:jc w:val="both"/>
              <w:rPr>
                <w:sz w:val="22"/>
              </w:rPr>
            </w:pPr>
            <w:r w:rsidRPr="00A72481">
              <w:rPr>
                <w:sz w:val="22"/>
              </w:rPr>
              <w:t>Isporuka i montaža prefabrikovanog betonskog kućišta za transformatorsku stanicu, vanjsko posluživanje, sa betonskim krovom, Al bravarijom,  dovoljnih dimenzija da se gradi na kat.parceli 1914/10</w:t>
            </w:r>
            <w:r>
              <w:rPr>
                <w:sz w:val="22"/>
              </w:rPr>
              <w:t xml:space="preserve"> </w:t>
            </w:r>
            <w:r w:rsidRPr="00A72481">
              <w:rPr>
                <w:sz w:val="22"/>
              </w:rPr>
              <w:t>(skica parcele Stojski bunar data u prilogu projekta).</w:t>
            </w:r>
            <w:r>
              <w:rPr>
                <w:sz w:val="22"/>
              </w:rPr>
              <w:t xml:space="preserve"> </w:t>
            </w:r>
            <w:r w:rsidRPr="00A72481">
              <w:rPr>
                <w:sz w:val="22"/>
              </w:rPr>
              <w:t>Dimenzije trafostanice treba da omoguće nesmetane manipulacije u okviru opredijeljene parcele.</w:t>
            </w:r>
          </w:p>
        </w:tc>
        <w:tc>
          <w:tcPr>
            <w:tcW w:w="836" w:type="dxa"/>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200780" w:rsidRPr="007C3EF9" w:rsidRDefault="00200780" w:rsidP="00C62015">
            <w:pPr>
              <w:jc w:val="both"/>
              <w:rPr>
                <w:sz w:val="22"/>
              </w:rPr>
            </w:pPr>
            <w:r w:rsidRPr="007C3EF9">
              <w:rPr>
                <w:sz w:val="22"/>
              </w:rPr>
              <w:t>1 kom</w:t>
            </w:r>
          </w:p>
        </w:tc>
      </w:tr>
    </w:tbl>
    <w:p w:rsidR="00D86F56" w:rsidRDefault="00D86F56" w:rsidP="00D47A38">
      <w:pPr>
        <w:ind w:left="720"/>
        <w:jc w:val="both"/>
        <w:rPr>
          <w:b/>
          <w:lang w:val="sr-Latn-CS"/>
        </w:rPr>
      </w:pPr>
    </w:p>
    <w:tbl>
      <w:tblPr>
        <w:tblW w:w="8992"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35"/>
        <w:gridCol w:w="3145"/>
        <w:gridCol w:w="3645"/>
        <w:gridCol w:w="1367"/>
      </w:tblGrid>
      <w:tr w:rsidR="00200780" w:rsidRPr="007C3EF9" w:rsidTr="00C62015">
        <w:trPr>
          <w:trHeight w:val="720"/>
          <w:tblCellSpacing w:w="15" w:type="dxa"/>
        </w:trPr>
        <w:tc>
          <w:tcPr>
            <w:tcW w:w="590" w:type="dxa"/>
            <w:tcBorders>
              <w:left w:val="single" w:sz="6" w:space="0" w:color="F6F5F4"/>
              <w:right w:val="single" w:sz="6" w:space="0" w:color="F6F5F4"/>
            </w:tcBorders>
            <w:shd w:val="clear" w:color="auto" w:fill="F6F5F4"/>
            <w:tcMar>
              <w:top w:w="150" w:type="dxa"/>
              <w:left w:w="360" w:type="dxa"/>
              <w:bottom w:w="150" w:type="dxa"/>
              <w:right w:w="180" w:type="dxa"/>
            </w:tcMar>
            <w:vAlign w:val="center"/>
            <w:hideMark/>
          </w:tcPr>
          <w:p w:rsidR="00200780" w:rsidRPr="007C3EF9" w:rsidRDefault="00200780" w:rsidP="00C62015">
            <w:pPr>
              <w:jc w:val="both"/>
              <w:rPr>
                <w:sz w:val="22"/>
                <w:szCs w:val="22"/>
              </w:rPr>
            </w:pPr>
            <w:r w:rsidRPr="007C3EF9">
              <w:rPr>
                <w:sz w:val="22"/>
                <w:szCs w:val="22"/>
              </w:rPr>
              <w:t>79</w:t>
            </w:r>
          </w:p>
        </w:tc>
        <w:tc>
          <w:tcPr>
            <w:tcW w:w="3465" w:type="dxa"/>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200780" w:rsidRPr="007C3EF9" w:rsidRDefault="00200780" w:rsidP="00C62015">
            <w:pPr>
              <w:jc w:val="both"/>
              <w:rPr>
                <w:sz w:val="22"/>
                <w:szCs w:val="22"/>
              </w:rPr>
            </w:pPr>
            <w:r w:rsidRPr="007C3EF9">
              <w:rPr>
                <w:sz w:val="22"/>
                <w:szCs w:val="22"/>
              </w:rPr>
              <w:t>NDTS 10/0.4 kV; 1x630kVA NN BLOK</w:t>
            </w:r>
          </w:p>
        </w:tc>
        <w:tc>
          <w:tcPr>
            <w:tcW w:w="3915" w:type="dxa"/>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200780" w:rsidRPr="00EA719B" w:rsidRDefault="00262B79" w:rsidP="00C62015">
            <w:pPr>
              <w:jc w:val="both"/>
              <w:rPr>
                <w:sz w:val="22"/>
                <w:szCs w:val="22"/>
              </w:rPr>
            </w:pPr>
            <w:r w:rsidRPr="00262B79">
              <w:rPr>
                <w:sz w:val="22"/>
                <w:szCs w:val="22"/>
              </w:rPr>
              <w:t xml:space="preserve">Isporuka i montaža NN bloka, sa 0.4 kV sabirnicama i elementima prema opisu, i sljedećim tehničkim podacima: - naznačeni napon 400 V - naznačena frekvencija 50 Hz - naznačena struja glavnih odvoda 400/630 A - naznačena kratkotrajno podnosiva struja 50 kA/ 1 s - stepen zaštite IP 20 Blok je slobodnostojeći predviđen za pričvršćenje na konstrukciju kućice. Izrađen je od nerđajućeg materijala. Sklopni blok sadrži sledeće elemente: Trafo polje: Tropolni zaštitni prekidač (3P), nazivne struje 1250A prekidne moći 50kA, Ics=100%Icu, kom 1;mikroprocesorska kontrolna jedinica : kom 1;Priključak na prekidač - gornji kom 1;Interfazna barijera kom 1;Strujni transformator 1000/5A kom 6;Multimetar sa impulsnim izlazom kom 1;Udarni taster kom 1;Kontaktni blok za udarni taster kom 1;Nosač kom </w:t>
            </w:r>
            <w:r w:rsidRPr="00262B79">
              <w:rPr>
                <w:sz w:val="22"/>
                <w:szCs w:val="22"/>
              </w:rPr>
              <w:lastRenderedPageBreak/>
              <w:t>1; Polje odvoda:Osiguračka letva 630A 3P 185MM kom 2;Osiguračka letva 400A 3P 185MM kom 6;Osiguračka letva za javnu rasvjetu 160/80A kom 1;Osiguračka letva za kompenzaciju 160/100A kom 1;Osigurački rastavljač za odvodnike prenapona 63/40A kom 1;Sab. za napajanje ; Poluindirektno mjerenje 5A isporučuje Investitor - kom 1 kom ;mjerna priključna kutija (šajda) kom 1;Stavkom obuhvatiti provodnike i sav sitan materijal neophodan za ugradnju i povezivanje navedene opreme. Ukupno za isporuku i montažu NN bloka:</w:t>
            </w:r>
          </w:p>
        </w:tc>
        <w:tc>
          <w:tcPr>
            <w:tcW w:w="872" w:type="dxa"/>
            <w:tcBorders>
              <w:left w:val="single" w:sz="6" w:space="0" w:color="F6F5F4"/>
              <w:right w:val="single" w:sz="6" w:space="0" w:color="F6F5F4"/>
            </w:tcBorders>
            <w:shd w:val="clear" w:color="auto" w:fill="F6F5F4"/>
            <w:tcMar>
              <w:top w:w="150" w:type="dxa"/>
              <w:left w:w="0" w:type="dxa"/>
              <w:bottom w:w="150" w:type="dxa"/>
              <w:right w:w="180" w:type="dxa"/>
            </w:tcMar>
            <w:vAlign w:val="center"/>
            <w:hideMark/>
          </w:tcPr>
          <w:p w:rsidR="00200780" w:rsidRPr="00BF4A92" w:rsidRDefault="00200780" w:rsidP="00BF4A92">
            <w:pPr>
              <w:pStyle w:val="ListParagraph"/>
              <w:numPr>
                <w:ilvl w:val="0"/>
                <w:numId w:val="22"/>
              </w:numPr>
              <w:jc w:val="both"/>
              <w:rPr>
                <w:sz w:val="22"/>
                <w:szCs w:val="22"/>
              </w:rPr>
            </w:pPr>
            <w:r w:rsidRPr="00BF4A92">
              <w:rPr>
                <w:sz w:val="22"/>
                <w:szCs w:val="22"/>
              </w:rPr>
              <w:lastRenderedPageBreak/>
              <w:t>kom</w:t>
            </w:r>
          </w:p>
        </w:tc>
      </w:tr>
    </w:tbl>
    <w:p w:rsidR="00D86F56" w:rsidRPr="00D86F56" w:rsidRDefault="00D86F56" w:rsidP="00D86F56">
      <w:pPr>
        <w:pStyle w:val="ListParagraph"/>
        <w:autoSpaceDE w:val="0"/>
        <w:autoSpaceDN w:val="0"/>
        <w:adjustRightInd w:val="0"/>
        <w:spacing w:after="120"/>
        <w:ind w:left="0"/>
        <w:jc w:val="both"/>
        <w:rPr>
          <w:strike/>
        </w:rPr>
      </w:pPr>
    </w:p>
    <w:p w:rsidR="00BF4A92" w:rsidRPr="00BF4A92" w:rsidRDefault="00BF4A92" w:rsidP="00BF4A92">
      <w:pPr>
        <w:pStyle w:val="ListParagraph"/>
        <w:numPr>
          <w:ilvl w:val="0"/>
          <w:numId w:val="23"/>
        </w:numPr>
        <w:jc w:val="both"/>
      </w:pPr>
      <w:r w:rsidRPr="00BF4A92">
        <w:t>Vrši se izmjena Tenderske dokumentacije na portalu C</w:t>
      </w:r>
      <w:r w:rsidR="002D5326">
        <w:t>EJN</w:t>
      </w:r>
      <w:r w:rsidRPr="00BF4A92">
        <w:t xml:space="preserve"> u poglavlju</w:t>
      </w:r>
      <w:r w:rsidRPr="00BF4A92">
        <w:rPr>
          <w:b/>
        </w:rPr>
        <w:t xml:space="preserve"> </w:t>
      </w:r>
      <w:bookmarkStart w:id="0" w:name="_Toc62730555"/>
      <w:r w:rsidR="002D5326">
        <w:rPr>
          <w:b/>
        </w:rPr>
        <w:t>3.</w:t>
      </w:r>
      <w:r w:rsidRPr="00BF4A92">
        <w:rPr>
          <w:b/>
          <w:lang w:val="sr-Latn-ME"/>
        </w:rPr>
        <w:t>DODATNE INFORMACIJE O PREDMETU I POSTUPKU NABAVKE</w:t>
      </w:r>
      <w:bookmarkEnd w:id="0"/>
      <w:r w:rsidRPr="00BF4A92">
        <w:rPr>
          <w:b/>
          <w:lang w:val="sr-Latn-ME"/>
        </w:rPr>
        <w:t xml:space="preserve"> </w:t>
      </w:r>
      <w:r w:rsidRPr="00BF4A92">
        <w:t xml:space="preserve">na način što se </w:t>
      </w:r>
      <w:r w:rsidR="00BA381F">
        <w:t xml:space="preserve">dodaje na kraju </w:t>
      </w:r>
      <w:r w:rsidR="002D5326">
        <w:t>skica</w:t>
      </w:r>
      <w:r w:rsidR="00BA381F" w:rsidRPr="00BA381F">
        <w:t xml:space="preserve"> parcele na kojoj je planirana gradnja TS</w:t>
      </w:r>
      <w:bookmarkStart w:id="1" w:name="_GoBack"/>
      <w:bookmarkEnd w:id="1"/>
      <w:r w:rsidRPr="00BF4A92">
        <w:t>:</w:t>
      </w:r>
    </w:p>
    <w:p w:rsidR="00BF4A92" w:rsidRPr="003E3F1D" w:rsidRDefault="00BF4A92" w:rsidP="00BF4A92"/>
    <w:p w:rsidR="002D5326" w:rsidRPr="00970A0B" w:rsidRDefault="002D5326" w:rsidP="002D5326">
      <w:pPr>
        <w:autoSpaceDE w:val="0"/>
        <w:autoSpaceDN w:val="0"/>
        <w:adjustRightInd w:val="0"/>
        <w:spacing w:after="120"/>
        <w:jc w:val="center"/>
      </w:pPr>
      <w:r>
        <w:object w:dxaOrig="1540"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9" o:title=""/>
          </v:shape>
          <o:OLEObject Type="Embed" ProgID="Package" ShapeID="_x0000_i1025" DrawAspect="Icon" ObjectID="_1766403317" r:id="rId10"/>
        </w:object>
      </w:r>
    </w:p>
    <w:p w:rsidR="00B95726" w:rsidRPr="0045496C" w:rsidRDefault="00B95726" w:rsidP="002D5326">
      <w:pPr>
        <w:pStyle w:val="ListParagraph"/>
        <w:numPr>
          <w:ilvl w:val="0"/>
          <w:numId w:val="23"/>
        </w:numPr>
        <w:autoSpaceDE w:val="0"/>
        <w:autoSpaceDN w:val="0"/>
        <w:adjustRightInd w:val="0"/>
        <w:spacing w:after="120"/>
        <w:jc w:val="both"/>
      </w:pPr>
      <w:r w:rsidRPr="002D5326">
        <w:rPr>
          <w:b/>
          <w:color w:val="000000" w:themeColor="text1"/>
          <w:lang w:val="sr-Latn-ME"/>
        </w:rPr>
        <w:t xml:space="preserve">S obzirom da su na portalu CEJN izvršene izmjene </w:t>
      </w:r>
      <w:r w:rsidRPr="002D5326">
        <w:rPr>
          <w:lang w:val="sl-SI"/>
        </w:rPr>
        <w:t>u skladu sa članom 94 stav 2 Zakona o javnim nabavkama (“Sl. list CG”, br. 074/19</w:t>
      </w:r>
      <w:r w:rsidR="00D86F56" w:rsidRPr="00D86F56">
        <w:t xml:space="preserve"> </w:t>
      </w:r>
      <w:r w:rsidR="00D86F56" w:rsidRPr="00EE204A">
        <w:t>od 30.12.2019, 003/23 od 10.01.2023, 011/23 od 27.01.2023</w:t>
      </w:r>
      <w:r w:rsidRPr="002D5326">
        <w:rPr>
          <w:lang w:val="sl-SI"/>
        </w:rPr>
        <w:t xml:space="preserve">) pomjera se rok za dostavljanje i otvaranje ponuda, pa se vrši izmjena Tenderske dokumentacije u poglavlju  </w:t>
      </w:r>
      <w:r w:rsidR="00970A0B" w:rsidRPr="002D5326">
        <w:rPr>
          <w:lang w:val="sl-SI"/>
        </w:rPr>
        <w:t xml:space="preserve">9. </w:t>
      </w:r>
      <w:r w:rsidRPr="002D5326">
        <w:rPr>
          <w:lang w:val="sl-SI"/>
        </w:rPr>
        <w:t>NAČIN, MJESTO I VRIJEME PODNOŠENJA PONUDA I OTVARANJA PONUDA pa sada ovaj tekst glasi:</w:t>
      </w:r>
    </w:p>
    <w:p w:rsidR="00B95726" w:rsidRPr="0045496C" w:rsidRDefault="00B95726" w:rsidP="00B95726">
      <w:pPr>
        <w:autoSpaceDE w:val="0"/>
        <w:autoSpaceDN w:val="0"/>
        <w:adjustRightInd w:val="0"/>
        <w:jc w:val="both"/>
        <w:rPr>
          <w:highlight w:val="yellow"/>
          <w:lang w:val="sl-SI"/>
        </w:rPr>
      </w:pPr>
    </w:p>
    <w:p w:rsidR="00C762E6" w:rsidRPr="00C762E6" w:rsidRDefault="00C762E6" w:rsidP="00C762E6">
      <w:pPr>
        <w:jc w:val="both"/>
        <w:rPr>
          <w:b/>
          <w:bCs/>
          <w:i/>
          <w:iCs/>
          <w:color w:val="000000"/>
          <w:lang w:val="sr-Latn-ME"/>
        </w:rPr>
      </w:pPr>
      <w:r w:rsidRPr="00C762E6">
        <w:rPr>
          <w:color w:val="000000"/>
          <w:lang w:val="sr-Latn-ME"/>
        </w:rPr>
        <w:t xml:space="preserve">Ponude se podnose preko ESJN-a zaključno sa danom </w:t>
      </w:r>
      <w:r>
        <w:rPr>
          <w:b/>
          <w:bCs/>
        </w:rPr>
        <w:t>2</w:t>
      </w:r>
      <w:r w:rsidR="00845AD4">
        <w:rPr>
          <w:b/>
          <w:bCs/>
        </w:rPr>
        <w:t>5</w:t>
      </w:r>
      <w:r>
        <w:rPr>
          <w:b/>
          <w:bCs/>
        </w:rPr>
        <w:t>.</w:t>
      </w:r>
      <w:r w:rsidRPr="00C762E6">
        <w:rPr>
          <w:b/>
          <w:bCs/>
        </w:rPr>
        <w:t>01.2024. godine do 10:00 sati.</w:t>
      </w:r>
    </w:p>
    <w:p w:rsidR="00C762E6" w:rsidRPr="00C762E6" w:rsidRDefault="00C762E6" w:rsidP="00C762E6">
      <w:pPr>
        <w:jc w:val="both"/>
        <w:rPr>
          <w:color w:val="000000"/>
          <w:sz w:val="10"/>
          <w:lang w:val="sr-Latn-ME"/>
        </w:rPr>
      </w:pPr>
    </w:p>
    <w:p w:rsidR="00C762E6" w:rsidRPr="00C762E6" w:rsidRDefault="00C762E6" w:rsidP="00C762E6">
      <w:pPr>
        <w:jc w:val="both"/>
        <w:rPr>
          <w:color w:val="000000"/>
          <w:lang w:val="sr-Latn-ME"/>
        </w:rPr>
      </w:pPr>
      <w:r w:rsidRPr="00C762E6">
        <w:rPr>
          <w:color w:val="000000"/>
          <w:lang w:val="sr-Latn-ME"/>
        </w:rPr>
        <w:t xml:space="preserve">Otvaranje ponuda održaće se dana  </w:t>
      </w:r>
      <w:r>
        <w:rPr>
          <w:b/>
          <w:bCs/>
        </w:rPr>
        <w:t>2</w:t>
      </w:r>
      <w:r w:rsidR="00845AD4">
        <w:rPr>
          <w:b/>
          <w:bCs/>
        </w:rPr>
        <w:t>5</w:t>
      </w:r>
      <w:r w:rsidRPr="00C762E6">
        <w:rPr>
          <w:b/>
          <w:bCs/>
        </w:rPr>
        <w:t>.01.2024. godine u 10:00 sati.</w:t>
      </w:r>
    </w:p>
    <w:p w:rsidR="00C762E6" w:rsidRPr="00C762E6" w:rsidRDefault="00C762E6" w:rsidP="00C762E6">
      <w:pPr>
        <w:jc w:val="both"/>
        <w:rPr>
          <w:color w:val="000000"/>
          <w:lang w:val="sr-Latn-ME"/>
        </w:rPr>
      </w:pPr>
    </w:p>
    <w:p w:rsidR="00C762E6" w:rsidRPr="00C762E6" w:rsidRDefault="00C762E6" w:rsidP="00C762E6">
      <w:pPr>
        <w:jc w:val="both"/>
        <w:rPr>
          <w:color w:val="000000"/>
          <w:lang w:val="sr-Latn-ME"/>
        </w:rPr>
      </w:pPr>
      <w:r w:rsidRPr="00C762E6">
        <w:rPr>
          <w:color w:val="000000"/>
          <w:lang w:val="sr-Latn-ME"/>
        </w:rPr>
        <w:sym w:font="Wingdings" w:char="F078"/>
      </w:r>
      <w:r w:rsidRPr="00C762E6">
        <w:rPr>
          <w:color w:val="000000"/>
          <w:lang w:val="sr-Latn-ME"/>
        </w:rPr>
        <w:t xml:space="preserve"> Dio ponude koje se ne dostavlja preko ESJN-a, a odnosi se na Garanciju ponude dostavlja se: </w:t>
      </w:r>
    </w:p>
    <w:p w:rsidR="00C762E6" w:rsidRPr="00C762E6" w:rsidRDefault="00C762E6" w:rsidP="00C762E6">
      <w:pPr>
        <w:numPr>
          <w:ilvl w:val="0"/>
          <w:numId w:val="6"/>
        </w:numPr>
        <w:spacing w:before="96"/>
        <w:jc w:val="both"/>
        <w:rPr>
          <w:rFonts w:eastAsia="Calibri"/>
        </w:rPr>
      </w:pPr>
      <w:r w:rsidRPr="00C762E6">
        <w:rPr>
          <w:rFonts w:eastAsia="Calibri"/>
          <w:color w:val="000000"/>
          <w:lang w:val="sr-Latn-ME"/>
        </w:rPr>
        <w:t xml:space="preserve">neposrednom predajom na arhivi naručioca na adresi </w:t>
      </w:r>
      <w:r w:rsidRPr="00C762E6">
        <w:t>Ul. Ivana Milutinovića br. 12, Podgorica;</w:t>
      </w:r>
    </w:p>
    <w:p w:rsidR="00C762E6" w:rsidRPr="00C762E6" w:rsidRDefault="00C762E6" w:rsidP="00C762E6">
      <w:pPr>
        <w:numPr>
          <w:ilvl w:val="0"/>
          <w:numId w:val="6"/>
        </w:numPr>
        <w:spacing w:before="96"/>
        <w:jc w:val="both"/>
        <w:rPr>
          <w:color w:val="000000"/>
          <w:lang w:val="sr-Latn-ME"/>
        </w:rPr>
      </w:pPr>
      <w:r w:rsidRPr="00C762E6">
        <w:rPr>
          <w:rFonts w:eastAsia="Calibri"/>
          <w:color w:val="000000"/>
          <w:lang w:val="sr-Latn-ME"/>
        </w:rPr>
        <w:t xml:space="preserve">preporučenom pošiljkom sa povratnicom na adresi </w:t>
      </w:r>
      <w:r w:rsidRPr="00C762E6">
        <w:t>Ul. Ivana Milutinovića br. 12, Podgorica,</w:t>
      </w:r>
      <w:r w:rsidRPr="00C762E6">
        <w:rPr>
          <w:rFonts w:eastAsia="Calibri"/>
        </w:rPr>
        <w:t xml:space="preserve"> s tim što ponuda mora biti uručena od strane poštanskog operatora najkasnije do roka određenog za podnošenje ponude</w:t>
      </w:r>
    </w:p>
    <w:p w:rsidR="00C762E6" w:rsidRPr="00C762E6" w:rsidRDefault="00C762E6" w:rsidP="00C762E6">
      <w:pPr>
        <w:jc w:val="both"/>
        <w:rPr>
          <w:color w:val="000000"/>
          <w:lang w:val="sr-Latn-ME"/>
        </w:rPr>
      </w:pPr>
    </w:p>
    <w:p w:rsidR="00C762E6" w:rsidRPr="00C762E6" w:rsidRDefault="00C762E6" w:rsidP="00C762E6">
      <w:pPr>
        <w:jc w:val="both"/>
        <w:rPr>
          <w:color w:val="000000"/>
          <w:lang w:val="sr-Latn-ME"/>
        </w:rPr>
      </w:pPr>
      <w:r w:rsidRPr="00C762E6">
        <w:rPr>
          <w:color w:val="000000"/>
          <w:lang w:val="sr-Latn-ME"/>
        </w:rPr>
        <w:t xml:space="preserve">radnim danima od </w:t>
      </w:r>
      <w:r w:rsidRPr="00C762E6">
        <w:t xml:space="preserve">od 8:00 do 12:00 </w:t>
      </w:r>
      <w:r w:rsidRPr="00C762E6">
        <w:rPr>
          <w:color w:val="000000"/>
          <w:lang w:val="sr-Latn-ME"/>
        </w:rPr>
        <w:t xml:space="preserve">sati, zaključno sa danom </w:t>
      </w:r>
      <w:r w:rsidRPr="00845AD4">
        <w:rPr>
          <w:bCs/>
        </w:rPr>
        <w:t>2</w:t>
      </w:r>
      <w:r w:rsidR="00845AD4" w:rsidRPr="00845AD4">
        <w:rPr>
          <w:bCs/>
        </w:rPr>
        <w:t>5</w:t>
      </w:r>
      <w:r w:rsidRPr="00845AD4">
        <w:rPr>
          <w:bCs/>
        </w:rPr>
        <w:t>.01.2024.</w:t>
      </w:r>
      <w:r w:rsidRPr="00845AD4">
        <w:t xml:space="preserve"> sati</w:t>
      </w:r>
      <w:r w:rsidR="00845AD4">
        <w:rPr>
          <w:color w:val="000000"/>
          <w:lang w:val="sr-Latn-ME"/>
        </w:rPr>
        <w:t xml:space="preserve"> do </w:t>
      </w:r>
      <w:r w:rsidR="00845AD4" w:rsidRPr="00845AD4">
        <w:rPr>
          <w:b/>
          <w:color w:val="000000"/>
          <w:lang w:val="sr-Latn-ME"/>
        </w:rPr>
        <w:t>09.30h</w:t>
      </w:r>
      <w:r w:rsidR="00845AD4">
        <w:rPr>
          <w:color w:val="000000"/>
          <w:lang w:val="sr-Latn-ME"/>
        </w:rPr>
        <w:t>.</w:t>
      </w:r>
    </w:p>
    <w:p w:rsidR="00B95726" w:rsidRDefault="00B95726" w:rsidP="00592530">
      <w:pPr>
        <w:jc w:val="both"/>
        <w:rPr>
          <w:b/>
          <w:lang w:val="sr-Latn-CS"/>
        </w:rPr>
      </w:pPr>
    </w:p>
    <w:p w:rsidR="00DB5D95" w:rsidRPr="00EE204A" w:rsidRDefault="00970A0B" w:rsidP="00592530">
      <w:pPr>
        <w:jc w:val="both"/>
        <w:rPr>
          <w:b/>
          <w:lang w:val="sr-Latn-CS"/>
        </w:rPr>
      </w:pPr>
      <w:r>
        <w:rPr>
          <w:b/>
          <w:lang w:val="sr-Latn-CS"/>
        </w:rPr>
        <w:t>Ostali dio</w:t>
      </w:r>
      <w:r w:rsidR="009C5229" w:rsidRPr="00EE204A">
        <w:rPr>
          <w:b/>
          <w:lang w:val="sr-Latn-CS"/>
        </w:rPr>
        <w:t xml:space="preserve"> tenderske dokumentacije ostaje nepromijenjen.</w:t>
      </w:r>
    </w:p>
    <w:p w:rsidR="00B95726" w:rsidRPr="00EE204A" w:rsidRDefault="00B95726" w:rsidP="00592530">
      <w:pPr>
        <w:jc w:val="both"/>
        <w:rPr>
          <w:b/>
          <w:sz w:val="12"/>
          <w:szCs w:val="12"/>
          <w:lang w:val="sr-Latn-CS"/>
        </w:rPr>
      </w:pPr>
    </w:p>
    <w:p w:rsidR="00DB5D95" w:rsidRPr="00EE204A" w:rsidRDefault="00DB5D95" w:rsidP="00DB5D95">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360"/>
        <w:outlineLvl w:val="0"/>
        <w:rPr>
          <w:b/>
          <w:iCs/>
        </w:rPr>
      </w:pPr>
      <w:bookmarkStart w:id="2" w:name="_Toc62730568"/>
      <w:r w:rsidRPr="00EE204A">
        <w:rPr>
          <w:b/>
        </w:rPr>
        <w:lastRenderedPageBreak/>
        <w:t>UPUTSTVO O PRAVNOM SREDSTVU</w:t>
      </w:r>
      <w:bookmarkEnd w:id="2"/>
    </w:p>
    <w:p w:rsidR="00DB5D95" w:rsidRPr="00EE204A" w:rsidRDefault="00DB5D95" w:rsidP="00DB5D95">
      <w:pPr>
        <w:tabs>
          <w:tab w:val="left" w:pos="5760"/>
        </w:tabs>
        <w:jc w:val="center"/>
        <w:rPr>
          <w:color w:val="000000"/>
          <w:sz w:val="2"/>
          <w:szCs w:val="2"/>
        </w:rPr>
      </w:pPr>
    </w:p>
    <w:p w:rsidR="00DB5D95" w:rsidRPr="00CB2CE6" w:rsidRDefault="00DB5D95" w:rsidP="00DB5D95">
      <w:pPr>
        <w:jc w:val="both"/>
        <w:rPr>
          <w:rFonts w:eastAsia="Calibri"/>
        </w:rPr>
      </w:pPr>
      <w:r w:rsidRPr="00EE204A">
        <w:rPr>
          <w:rFonts w:eastAsia="Calibri"/>
        </w:rPr>
        <w:t>Privredni subjekat može da izjavi žalbu protiv ove tenderske dokumentacije Komisiji za zaštitu prava:</w:t>
      </w:r>
    </w:p>
    <w:p w:rsidR="00DB5D95" w:rsidRPr="00EE204A" w:rsidRDefault="00DB5D95" w:rsidP="00DB5D95">
      <w:pPr>
        <w:numPr>
          <w:ilvl w:val="0"/>
          <w:numId w:val="19"/>
        </w:numPr>
        <w:jc w:val="both"/>
        <w:rPr>
          <w:rFonts w:eastAsia="Calibri"/>
          <w:lang w:val="sr-Latn-CS"/>
        </w:rPr>
      </w:pPr>
      <w:r w:rsidRPr="00EE204A">
        <w:rPr>
          <w:rFonts w:eastAsia="Calibri"/>
          <w:lang w:val="sr-Latn-CS"/>
        </w:rPr>
        <w:t>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DB5D95" w:rsidRPr="00EE204A" w:rsidRDefault="00DB5D95" w:rsidP="00DB5D95">
      <w:pPr>
        <w:numPr>
          <w:ilvl w:val="0"/>
          <w:numId w:val="19"/>
        </w:numPr>
        <w:jc w:val="both"/>
        <w:rPr>
          <w:rFonts w:eastAsia="Calibri"/>
          <w:lang w:val="sr-Latn-CS"/>
        </w:rPr>
      </w:pPr>
      <w:r w:rsidRPr="00EE204A">
        <w:rPr>
          <w:rFonts w:eastAsia="Calibri"/>
        </w:rPr>
        <w:t>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DB5D95" w:rsidRPr="00CB2CE6" w:rsidRDefault="00DB5D95" w:rsidP="00DB5D95">
      <w:pPr>
        <w:numPr>
          <w:ilvl w:val="0"/>
          <w:numId w:val="19"/>
        </w:numPr>
        <w:jc w:val="both"/>
        <w:rPr>
          <w:rFonts w:eastAsia="Calibri"/>
          <w:lang w:val="sr-Latn-CS"/>
        </w:rPr>
      </w:pPr>
      <w:r w:rsidRPr="00EE204A">
        <w:rPr>
          <w:rFonts w:eastAsia="Calibri"/>
        </w:rPr>
        <w:t>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DB5D95" w:rsidRPr="00CB2CE6" w:rsidRDefault="00DB5D95" w:rsidP="00DB5D95">
      <w:pPr>
        <w:jc w:val="both"/>
        <w:rPr>
          <w:rFonts w:eastAsia="Calibri"/>
        </w:rPr>
      </w:pPr>
      <w:r w:rsidRPr="00EE204A">
        <w:rPr>
          <w:rFonts w:eastAsia="Calibri"/>
        </w:rPr>
        <w:tab/>
        <w:t>Žalba se izjavljuje preko naručioca neposredno putem ESJN-a. Žalba koja nije podnesena na naprijed predviđeni način biće odbijena kao nedozvoljena. 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DB5D95" w:rsidRPr="00EE204A" w:rsidRDefault="00DB5D95" w:rsidP="00DB5D95">
      <w:pPr>
        <w:jc w:val="both"/>
        <w:rPr>
          <w:rFonts w:eastAsia="Calibri"/>
        </w:rPr>
      </w:pPr>
      <w:r w:rsidRPr="00EE204A">
        <w:rPr>
          <w:rFonts w:eastAsia="Calibri"/>
        </w:rPr>
        <w:tab/>
        <w:t>Ukoliko je predmet nabavke podijeljen po partijama, a žalba se odnosi samo na određenu/e partiju/e, naknada se plaća u iznosu 1% od procijenjene vrijednosti javne nabavke te/tih partije/a.</w:t>
      </w:r>
    </w:p>
    <w:p w:rsidR="00DB5D95" w:rsidRPr="00EE204A" w:rsidRDefault="00DB5D95" w:rsidP="00DB5D95">
      <w:pPr>
        <w:jc w:val="both"/>
        <w:rPr>
          <w:rFonts w:eastAsia="Calibri"/>
        </w:rPr>
      </w:pPr>
      <w:r w:rsidRPr="00EE204A">
        <w:rPr>
          <w:rFonts w:eastAsia="Calibri"/>
        </w:rPr>
        <w:tab/>
        <w:t xml:space="preserve">Instrukcije za plaćanje naknade za vođenje postupka od strane žalilaca iz inostranstva nalaze se na internet stranici Komisije za zaštitu prava nabavki </w:t>
      </w:r>
      <w:hyperlink r:id="rId11" w:history="1">
        <w:r w:rsidRPr="00EE204A">
          <w:rPr>
            <w:rFonts w:eastAsia="Calibri"/>
            <w:color w:val="0000FF"/>
            <w:u w:val="single"/>
          </w:rPr>
          <w:t>http://www.kontrola-nabavki.me/</w:t>
        </w:r>
      </w:hyperlink>
      <w:r w:rsidRPr="00EE204A">
        <w:rPr>
          <w:rFonts w:eastAsia="Calibri"/>
        </w:rPr>
        <w:t>.“.</w:t>
      </w:r>
    </w:p>
    <w:p w:rsidR="00DB5D95" w:rsidRPr="00EE204A" w:rsidRDefault="00DB5D95" w:rsidP="00592530">
      <w:pPr>
        <w:jc w:val="both"/>
        <w:rPr>
          <w:b/>
          <w:lang w:val="sr-Latn-CS"/>
        </w:rPr>
      </w:pPr>
    </w:p>
    <w:p w:rsidR="000760F1" w:rsidRPr="00EE204A" w:rsidRDefault="000760F1" w:rsidP="00592530">
      <w:pPr>
        <w:jc w:val="both"/>
        <w:rPr>
          <w:b/>
          <w:lang w:val="sr-Latn-CS"/>
        </w:rPr>
      </w:pPr>
    </w:p>
    <w:p w:rsidR="00C67403" w:rsidRPr="00EE204A" w:rsidRDefault="00C67403" w:rsidP="003D3BE4">
      <w:pPr>
        <w:jc w:val="both"/>
        <w:rPr>
          <w:b/>
          <w:lang w:val="sl-SI"/>
        </w:rPr>
      </w:pPr>
    </w:p>
    <w:p w:rsidR="003D3BE4" w:rsidRPr="00EE204A" w:rsidRDefault="003D3BE4" w:rsidP="003D3BE4">
      <w:pPr>
        <w:pStyle w:val="PlainText"/>
        <w:jc w:val="both"/>
        <w:rPr>
          <w:rFonts w:ascii="Times New Roman" w:hAnsi="Times New Roman"/>
          <w:b/>
          <w:sz w:val="24"/>
          <w:szCs w:val="24"/>
        </w:rPr>
      </w:pPr>
      <w:r w:rsidRPr="00EE204A">
        <w:rPr>
          <w:rFonts w:ascii="Times New Roman" w:hAnsi="Times New Roman"/>
          <w:sz w:val="24"/>
          <w:szCs w:val="24"/>
        </w:rPr>
        <w:t xml:space="preserve">        </w:t>
      </w:r>
      <w:r w:rsidRPr="00EE204A">
        <w:rPr>
          <w:rFonts w:ascii="Times New Roman" w:hAnsi="Times New Roman"/>
          <w:b/>
          <w:sz w:val="24"/>
          <w:szCs w:val="24"/>
        </w:rPr>
        <w:t xml:space="preserve">                  </w:t>
      </w:r>
      <w:r w:rsidR="00383E54" w:rsidRPr="00EE204A">
        <w:rPr>
          <w:rFonts w:ascii="Times New Roman" w:hAnsi="Times New Roman"/>
          <w:b/>
          <w:sz w:val="24"/>
          <w:szCs w:val="24"/>
        </w:rPr>
        <w:t xml:space="preserve">                        </w:t>
      </w:r>
      <w:r w:rsidRPr="00EE204A">
        <w:rPr>
          <w:rFonts w:ascii="Times New Roman" w:hAnsi="Times New Roman"/>
          <w:b/>
          <w:sz w:val="24"/>
          <w:szCs w:val="24"/>
        </w:rPr>
        <w:t xml:space="preserve">   Ispred Komisije </w:t>
      </w:r>
      <w:r w:rsidR="00E31E4E" w:rsidRPr="00EE204A">
        <w:rPr>
          <w:rFonts w:ascii="Times New Roman" w:hAnsi="Times New Roman"/>
          <w:b/>
          <w:sz w:val="24"/>
          <w:szCs w:val="24"/>
        </w:rPr>
        <w:t>za sprovođenje postupka javne nabavke</w:t>
      </w:r>
    </w:p>
    <w:p w:rsidR="003D3BE4" w:rsidRPr="00EE204A" w:rsidRDefault="003D3BE4" w:rsidP="003D3BE4">
      <w:pPr>
        <w:pStyle w:val="PlainText"/>
        <w:jc w:val="both"/>
        <w:rPr>
          <w:rFonts w:ascii="Times New Roman" w:hAnsi="Times New Roman"/>
          <w:sz w:val="24"/>
          <w:szCs w:val="24"/>
        </w:rPr>
      </w:pPr>
      <w:r w:rsidRPr="00EE204A">
        <w:rPr>
          <w:rFonts w:ascii="Times New Roman" w:hAnsi="Times New Roman"/>
          <w:b/>
          <w:sz w:val="24"/>
          <w:szCs w:val="24"/>
        </w:rPr>
        <w:t xml:space="preserve">     </w:t>
      </w:r>
      <w:r w:rsidRPr="00EE204A">
        <w:rPr>
          <w:rFonts w:ascii="Times New Roman" w:hAnsi="Times New Roman"/>
          <w:sz w:val="24"/>
          <w:szCs w:val="24"/>
        </w:rPr>
        <w:t>Co:</w:t>
      </w:r>
      <w:r w:rsidRPr="00EE204A">
        <w:rPr>
          <w:rFonts w:ascii="Times New Roman" w:hAnsi="Times New Roman"/>
          <w:b/>
          <w:sz w:val="24"/>
          <w:szCs w:val="24"/>
        </w:rPr>
        <w:t xml:space="preserve">        </w:t>
      </w:r>
      <w:r w:rsidR="002A7501" w:rsidRPr="00EE204A">
        <w:rPr>
          <w:rFonts w:ascii="Times New Roman" w:hAnsi="Times New Roman"/>
          <w:b/>
          <w:sz w:val="24"/>
          <w:szCs w:val="24"/>
        </w:rPr>
        <w:t xml:space="preserve">                             </w:t>
      </w:r>
    </w:p>
    <w:p w:rsidR="003D3BE4" w:rsidRPr="00EE204A" w:rsidRDefault="003D3BE4" w:rsidP="003D3BE4">
      <w:pPr>
        <w:jc w:val="both"/>
        <w:rPr>
          <w:b/>
        </w:rPr>
      </w:pPr>
      <w:r w:rsidRPr="00EE204A">
        <w:t xml:space="preserve">   - Svim ponuđačima                                                      </w:t>
      </w:r>
      <w:r w:rsidRPr="00EE204A">
        <w:rPr>
          <w:b/>
        </w:rPr>
        <w:t>Predsjedavajući član</w:t>
      </w:r>
    </w:p>
    <w:p w:rsidR="003D3BE4" w:rsidRPr="00EE204A" w:rsidRDefault="003D3BE4" w:rsidP="003D3BE4">
      <w:pPr>
        <w:jc w:val="both"/>
      </w:pPr>
      <w:r w:rsidRPr="00EE204A">
        <w:t xml:space="preserve">   - Predsjedavajućem komisije                                         </w:t>
      </w:r>
    </w:p>
    <w:p w:rsidR="003D3BE4" w:rsidRPr="00EE204A" w:rsidRDefault="003D3BE4" w:rsidP="002C7CB8">
      <w:pPr>
        <w:jc w:val="both"/>
        <w:rPr>
          <w:color w:val="000000"/>
        </w:rPr>
      </w:pPr>
      <w:r w:rsidRPr="00EE204A">
        <w:t xml:space="preserve">   - a/a                                                                       </w:t>
      </w:r>
      <w:r w:rsidR="008663A9">
        <w:t xml:space="preserve">             </w:t>
      </w:r>
      <w:r w:rsidR="00970A0B">
        <w:rPr>
          <w:b/>
        </w:rPr>
        <w:t>Jasmina Murić</w:t>
      </w:r>
      <w:r w:rsidRPr="00EE204A">
        <w:t xml:space="preserve">   </w:t>
      </w:r>
    </w:p>
    <w:p w:rsidR="00DB5D95" w:rsidRPr="00EE204A" w:rsidRDefault="00DB5D95">
      <w:pPr>
        <w:jc w:val="both"/>
        <w:rPr>
          <w:color w:val="000000"/>
        </w:rPr>
      </w:pPr>
    </w:p>
    <w:sectPr w:rsidR="00DB5D95" w:rsidRPr="00EE204A" w:rsidSect="004926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8A8" w:rsidRDefault="003F18A8" w:rsidP="002C2C3E">
      <w:r>
        <w:separator/>
      </w:r>
    </w:p>
  </w:endnote>
  <w:endnote w:type="continuationSeparator" w:id="0">
    <w:p w:rsidR="003F18A8" w:rsidRDefault="003F18A8" w:rsidP="002C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8A8" w:rsidRDefault="003F18A8" w:rsidP="002C2C3E">
      <w:r>
        <w:separator/>
      </w:r>
    </w:p>
  </w:footnote>
  <w:footnote w:type="continuationSeparator" w:id="0">
    <w:p w:rsidR="003F18A8" w:rsidRDefault="003F18A8" w:rsidP="002C2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79B"/>
    <w:multiLevelType w:val="hybridMultilevel"/>
    <w:tmpl w:val="CF3AA2F0"/>
    <w:lvl w:ilvl="0" w:tplc="0944D4A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C564B"/>
    <w:multiLevelType w:val="hybridMultilevel"/>
    <w:tmpl w:val="BD3C4F84"/>
    <w:lvl w:ilvl="0" w:tplc="9BBC0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3"/>
    <w:multiLevelType w:val="hybridMultilevel"/>
    <w:tmpl w:val="CC822CAA"/>
    <w:lvl w:ilvl="0" w:tplc="2CFE88C0">
      <w:start w:val="8"/>
      <w:numFmt w:val="decimal"/>
      <w:lvlText w:val="%1."/>
      <w:lvlJc w:val="left"/>
      <w:pPr>
        <w:ind w:left="777" w:hanging="360"/>
      </w:pPr>
      <w:rPr>
        <w:rFonts w:hint="default"/>
      </w:rPr>
    </w:lvl>
    <w:lvl w:ilvl="1" w:tplc="2C1A0019" w:tentative="1">
      <w:start w:val="1"/>
      <w:numFmt w:val="lowerLetter"/>
      <w:lvlText w:val="%2."/>
      <w:lvlJc w:val="left"/>
      <w:pPr>
        <w:ind w:left="1497" w:hanging="360"/>
      </w:pPr>
    </w:lvl>
    <w:lvl w:ilvl="2" w:tplc="2C1A001B" w:tentative="1">
      <w:start w:val="1"/>
      <w:numFmt w:val="lowerRoman"/>
      <w:lvlText w:val="%3."/>
      <w:lvlJc w:val="right"/>
      <w:pPr>
        <w:ind w:left="2217" w:hanging="180"/>
      </w:pPr>
    </w:lvl>
    <w:lvl w:ilvl="3" w:tplc="2C1A000F" w:tentative="1">
      <w:start w:val="1"/>
      <w:numFmt w:val="decimal"/>
      <w:lvlText w:val="%4."/>
      <w:lvlJc w:val="left"/>
      <w:pPr>
        <w:ind w:left="2937" w:hanging="360"/>
      </w:pPr>
    </w:lvl>
    <w:lvl w:ilvl="4" w:tplc="2C1A0019" w:tentative="1">
      <w:start w:val="1"/>
      <w:numFmt w:val="lowerLetter"/>
      <w:lvlText w:val="%5."/>
      <w:lvlJc w:val="left"/>
      <w:pPr>
        <w:ind w:left="3657" w:hanging="360"/>
      </w:pPr>
    </w:lvl>
    <w:lvl w:ilvl="5" w:tplc="2C1A001B" w:tentative="1">
      <w:start w:val="1"/>
      <w:numFmt w:val="lowerRoman"/>
      <w:lvlText w:val="%6."/>
      <w:lvlJc w:val="right"/>
      <w:pPr>
        <w:ind w:left="4377" w:hanging="180"/>
      </w:pPr>
    </w:lvl>
    <w:lvl w:ilvl="6" w:tplc="2C1A000F" w:tentative="1">
      <w:start w:val="1"/>
      <w:numFmt w:val="decimal"/>
      <w:lvlText w:val="%7."/>
      <w:lvlJc w:val="left"/>
      <w:pPr>
        <w:ind w:left="5097" w:hanging="360"/>
      </w:pPr>
    </w:lvl>
    <w:lvl w:ilvl="7" w:tplc="2C1A0019" w:tentative="1">
      <w:start w:val="1"/>
      <w:numFmt w:val="lowerLetter"/>
      <w:lvlText w:val="%8."/>
      <w:lvlJc w:val="left"/>
      <w:pPr>
        <w:ind w:left="5817" w:hanging="360"/>
      </w:pPr>
    </w:lvl>
    <w:lvl w:ilvl="8" w:tplc="2C1A001B" w:tentative="1">
      <w:start w:val="1"/>
      <w:numFmt w:val="lowerRoman"/>
      <w:lvlText w:val="%9."/>
      <w:lvlJc w:val="right"/>
      <w:pPr>
        <w:ind w:left="6537" w:hanging="180"/>
      </w:pPr>
    </w:lvl>
  </w:abstractNum>
  <w:abstractNum w:abstractNumId="3" w15:restartNumberingAfterBreak="0">
    <w:nsid w:val="18A11212"/>
    <w:multiLevelType w:val="hybridMultilevel"/>
    <w:tmpl w:val="E766F4E2"/>
    <w:lvl w:ilvl="0" w:tplc="917CCA0C">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1A491846"/>
    <w:multiLevelType w:val="hybridMultilevel"/>
    <w:tmpl w:val="C8948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B6AD4"/>
    <w:multiLevelType w:val="hybridMultilevel"/>
    <w:tmpl w:val="7F2AF13A"/>
    <w:lvl w:ilvl="0" w:tplc="725E165E">
      <w:start w:val="8"/>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1F6B0426"/>
    <w:multiLevelType w:val="hybridMultilevel"/>
    <w:tmpl w:val="C6C29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60137"/>
    <w:multiLevelType w:val="hybridMultilevel"/>
    <w:tmpl w:val="A87AC56E"/>
    <w:lvl w:ilvl="0" w:tplc="E85A548E">
      <w:start w:val="5"/>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30295"/>
    <w:multiLevelType w:val="hybridMultilevel"/>
    <w:tmpl w:val="FB58F89C"/>
    <w:lvl w:ilvl="0" w:tplc="2C1A0011">
      <w:start w:val="1"/>
      <w:numFmt w:val="decimal"/>
      <w:lvlText w:val="%1)"/>
      <w:lvlJc w:val="left"/>
      <w:pPr>
        <w:ind w:left="765" w:hanging="360"/>
      </w:pPr>
    </w:lvl>
    <w:lvl w:ilvl="1" w:tplc="2C1A0019" w:tentative="1">
      <w:start w:val="1"/>
      <w:numFmt w:val="lowerLetter"/>
      <w:lvlText w:val="%2."/>
      <w:lvlJc w:val="left"/>
      <w:pPr>
        <w:ind w:left="1485" w:hanging="360"/>
      </w:pPr>
    </w:lvl>
    <w:lvl w:ilvl="2" w:tplc="2C1A001B" w:tentative="1">
      <w:start w:val="1"/>
      <w:numFmt w:val="lowerRoman"/>
      <w:lvlText w:val="%3."/>
      <w:lvlJc w:val="right"/>
      <w:pPr>
        <w:ind w:left="2205" w:hanging="180"/>
      </w:pPr>
    </w:lvl>
    <w:lvl w:ilvl="3" w:tplc="2C1A000F" w:tentative="1">
      <w:start w:val="1"/>
      <w:numFmt w:val="decimal"/>
      <w:lvlText w:val="%4."/>
      <w:lvlJc w:val="left"/>
      <w:pPr>
        <w:ind w:left="2925" w:hanging="360"/>
      </w:pPr>
    </w:lvl>
    <w:lvl w:ilvl="4" w:tplc="2C1A0019" w:tentative="1">
      <w:start w:val="1"/>
      <w:numFmt w:val="lowerLetter"/>
      <w:lvlText w:val="%5."/>
      <w:lvlJc w:val="left"/>
      <w:pPr>
        <w:ind w:left="3645" w:hanging="360"/>
      </w:pPr>
    </w:lvl>
    <w:lvl w:ilvl="5" w:tplc="2C1A001B" w:tentative="1">
      <w:start w:val="1"/>
      <w:numFmt w:val="lowerRoman"/>
      <w:lvlText w:val="%6."/>
      <w:lvlJc w:val="right"/>
      <w:pPr>
        <w:ind w:left="4365" w:hanging="180"/>
      </w:pPr>
    </w:lvl>
    <w:lvl w:ilvl="6" w:tplc="2C1A000F" w:tentative="1">
      <w:start w:val="1"/>
      <w:numFmt w:val="decimal"/>
      <w:lvlText w:val="%7."/>
      <w:lvlJc w:val="left"/>
      <w:pPr>
        <w:ind w:left="5085" w:hanging="360"/>
      </w:pPr>
    </w:lvl>
    <w:lvl w:ilvl="7" w:tplc="2C1A0019" w:tentative="1">
      <w:start w:val="1"/>
      <w:numFmt w:val="lowerLetter"/>
      <w:lvlText w:val="%8."/>
      <w:lvlJc w:val="left"/>
      <w:pPr>
        <w:ind w:left="5805" w:hanging="360"/>
      </w:pPr>
    </w:lvl>
    <w:lvl w:ilvl="8" w:tplc="2C1A001B" w:tentative="1">
      <w:start w:val="1"/>
      <w:numFmt w:val="lowerRoman"/>
      <w:lvlText w:val="%9."/>
      <w:lvlJc w:val="right"/>
      <w:pPr>
        <w:ind w:left="6525" w:hanging="180"/>
      </w:pPr>
    </w:lvl>
  </w:abstractNum>
  <w:abstractNum w:abstractNumId="9"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0" w15:restartNumberingAfterBreak="0">
    <w:nsid w:val="33AD2583"/>
    <w:multiLevelType w:val="hybridMultilevel"/>
    <w:tmpl w:val="BB426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15670"/>
    <w:multiLevelType w:val="hybridMultilevel"/>
    <w:tmpl w:val="E8245BC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3F25BE"/>
    <w:multiLevelType w:val="hybridMultilevel"/>
    <w:tmpl w:val="3C2A8EC8"/>
    <w:lvl w:ilvl="0" w:tplc="00D685AA">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15:restartNumberingAfterBreak="0">
    <w:nsid w:val="48465EC5"/>
    <w:multiLevelType w:val="hybridMultilevel"/>
    <w:tmpl w:val="E2882506"/>
    <w:lvl w:ilvl="0" w:tplc="BAD03F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3A5262"/>
    <w:multiLevelType w:val="hybridMultilevel"/>
    <w:tmpl w:val="65D04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F45CD6"/>
    <w:multiLevelType w:val="hybridMultilevel"/>
    <w:tmpl w:val="DC6A49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A29DE"/>
    <w:multiLevelType w:val="hybridMultilevel"/>
    <w:tmpl w:val="6158F5AC"/>
    <w:lvl w:ilvl="0" w:tplc="2C1A0001">
      <w:start w:val="1"/>
      <w:numFmt w:val="bullet"/>
      <w:lvlText w:val=""/>
      <w:lvlJc w:val="left"/>
      <w:pPr>
        <w:ind w:left="1778" w:hanging="360"/>
      </w:pPr>
      <w:rPr>
        <w:rFonts w:ascii="Symbol" w:hAnsi="Symbol" w:hint="default"/>
      </w:rPr>
    </w:lvl>
    <w:lvl w:ilvl="1" w:tplc="8B04A38A">
      <w:start w:val="11"/>
      <w:numFmt w:val="bullet"/>
      <w:lvlText w:val="-"/>
      <w:lvlJc w:val="left"/>
      <w:pPr>
        <w:ind w:left="2498" w:hanging="360"/>
      </w:pPr>
      <w:rPr>
        <w:rFonts w:ascii="Times New Roman" w:eastAsia="Times New Roman" w:hAnsi="Times New Roman" w:cs="Times New Roman"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18" w15:restartNumberingAfterBreak="0">
    <w:nsid w:val="514808B8"/>
    <w:multiLevelType w:val="hybridMultilevel"/>
    <w:tmpl w:val="D7FA2FE8"/>
    <w:lvl w:ilvl="0" w:tplc="16E6FA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A5224D"/>
    <w:multiLevelType w:val="hybridMultilevel"/>
    <w:tmpl w:val="3B78E7E4"/>
    <w:lvl w:ilvl="0" w:tplc="D87ED28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3A73BC"/>
    <w:multiLevelType w:val="hybridMultilevel"/>
    <w:tmpl w:val="D2D6E6BA"/>
    <w:lvl w:ilvl="0" w:tplc="209E9F58">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2" w15:restartNumberingAfterBreak="0">
    <w:nsid w:val="7F292A2E"/>
    <w:multiLevelType w:val="hybridMultilevel"/>
    <w:tmpl w:val="C79EA7C2"/>
    <w:lvl w:ilvl="0" w:tplc="BE100C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15"/>
  </w:num>
  <w:num w:numId="5">
    <w:abstractNumId w:val="6"/>
  </w:num>
  <w:num w:numId="6">
    <w:abstractNumId w:val="9"/>
  </w:num>
  <w:num w:numId="7">
    <w:abstractNumId w:val="19"/>
  </w:num>
  <w:num w:numId="8">
    <w:abstractNumId w:val="0"/>
  </w:num>
  <w:num w:numId="9">
    <w:abstractNumId w:val="18"/>
  </w:num>
  <w:num w:numId="10">
    <w:abstractNumId w:val="12"/>
  </w:num>
  <w:num w:numId="11">
    <w:abstractNumId w:val="21"/>
  </w:num>
  <w:num w:numId="12">
    <w:abstractNumId w:val="17"/>
  </w:num>
  <w:num w:numId="13">
    <w:abstractNumId w:val="7"/>
  </w:num>
  <w:num w:numId="14">
    <w:abstractNumId w:val="13"/>
  </w:num>
  <w:num w:numId="15">
    <w:abstractNumId w:val="2"/>
  </w:num>
  <w:num w:numId="16">
    <w:abstractNumId w:val="5"/>
  </w:num>
  <w:num w:numId="17">
    <w:abstractNumId w:val="22"/>
  </w:num>
  <w:num w:numId="18">
    <w:abstractNumId w:val="20"/>
  </w:num>
  <w:num w:numId="19">
    <w:abstractNumId w:val="8"/>
  </w:num>
  <w:num w:numId="20">
    <w:abstractNumId w:val="14"/>
  </w:num>
  <w:num w:numId="21">
    <w:abstractNumId w:val="11"/>
  </w:num>
  <w:num w:numId="22">
    <w:abstractNumId w:val="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83"/>
    <w:rsid w:val="00014007"/>
    <w:rsid w:val="00025E1A"/>
    <w:rsid w:val="000267CB"/>
    <w:rsid w:val="000305B9"/>
    <w:rsid w:val="000354A2"/>
    <w:rsid w:val="000366C2"/>
    <w:rsid w:val="00040E16"/>
    <w:rsid w:val="00042F7D"/>
    <w:rsid w:val="00054897"/>
    <w:rsid w:val="000573BD"/>
    <w:rsid w:val="0006040E"/>
    <w:rsid w:val="000760F1"/>
    <w:rsid w:val="00076A31"/>
    <w:rsid w:val="00087D52"/>
    <w:rsid w:val="000925AF"/>
    <w:rsid w:val="00095041"/>
    <w:rsid w:val="000951D4"/>
    <w:rsid w:val="000B13A8"/>
    <w:rsid w:val="000C65A8"/>
    <w:rsid w:val="000D24A4"/>
    <w:rsid w:val="000E0CD0"/>
    <w:rsid w:val="000E445C"/>
    <w:rsid w:val="000F0566"/>
    <w:rsid w:val="0010797F"/>
    <w:rsid w:val="00114B53"/>
    <w:rsid w:val="00117E31"/>
    <w:rsid w:val="00124BE7"/>
    <w:rsid w:val="00134AA1"/>
    <w:rsid w:val="001466FF"/>
    <w:rsid w:val="00146933"/>
    <w:rsid w:val="00150423"/>
    <w:rsid w:val="00156B72"/>
    <w:rsid w:val="00163FBE"/>
    <w:rsid w:val="00164BE7"/>
    <w:rsid w:val="00166CFA"/>
    <w:rsid w:val="001A0261"/>
    <w:rsid w:val="001B7385"/>
    <w:rsid w:val="001B7D08"/>
    <w:rsid w:val="001F32FB"/>
    <w:rsid w:val="001F3614"/>
    <w:rsid w:val="00200780"/>
    <w:rsid w:val="002079D2"/>
    <w:rsid w:val="00211D81"/>
    <w:rsid w:val="0022438A"/>
    <w:rsid w:val="00236922"/>
    <w:rsid w:val="00241A8A"/>
    <w:rsid w:val="00244FF2"/>
    <w:rsid w:val="00246EE3"/>
    <w:rsid w:val="00252676"/>
    <w:rsid w:val="00262B79"/>
    <w:rsid w:val="00280382"/>
    <w:rsid w:val="002858BF"/>
    <w:rsid w:val="00287368"/>
    <w:rsid w:val="00290E15"/>
    <w:rsid w:val="00292F5A"/>
    <w:rsid w:val="00295659"/>
    <w:rsid w:val="002A6F96"/>
    <w:rsid w:val="002A7501"/>
    <w:rsid w:val="002B7986"/>
    <w:rsid w:val="002C0D32"/>
    <w:rsid w:val="002C2C3E"/>
    <w:rsid w:val="002C7CB8"/>
    <w:rsid w:val="002C7E5E"/>
    <w:rsid w:val="002D5326"/>
    <w:rsid w:val="002E473A"/>
    <w:rsid w:val="002E6404"/>
    <w:rsid w:val="002F21DE"/>
    <w:rsid w:val="002F3167"/>
    <w:rsid w:val="00301B84"/>
    <w:rsid w:val="00303B9D"/>
    <w:rsid w:val="00312B3A"/>
    <w:rsid w:val="00314C65"/>
    <w:rsid w:val="00317A76"/>
    <w:rsid w:val="0032794E"/>
    <w:rsid w:val="00331722"/>
    <w:rsid w:val="003317C9"/>
    <w:rsid w:val="00333CA6"/>
    <w:rsid w:val="00341A6A"/>
    <w:rsid w:val="00356E9A"/>
    <w:rsid w:val="003614CD"/>
    <w:rsid w:val="003705D6"/>
    <w:rsid w:val="00371327"/>
    <w:rsid w:val="00372EE5"/>
    <w:rsid w:val="00374DE9"/>
    <w:rsid w:val="00383E54"/>
    <w:rsid w:val="003944C1"/>
    <w:rsid w:val="003B04CD"/>
    <w:rsid w:val="003B4D05"/>
    <w:rsid w:val="003B6083"/>
    <w:rsid w:val="003D3BE4"/>
    <w:rsid w:val="003D736A"/>
    <w:rsid w:val="003E4610"/>
    <w:rsid w:val="003E5702"/>
    <w:rsid w:val="003F18A8"/>
    <w:rsid w:val="004016D0"/>
    <w:rsid w:val="00411045"/>
    <w:rsid w:val="0042336F"/>
    <w:rsid w:val="00427860"/>
    <w:rsid w:val="00456560"/>
    <w:rsid w:val="0045713B"/>
    <w:rsid w:val="00463CAD"/>
    <w:rsid w:val="004672DD"/>
    <w:rsid w:val="004850A1"/>
    <w:rsid w:val="004852D1"/>
    <w:rsid w:val="00485D58"/>
    <w:rsid w:val="004926F2"/>
    <w:rsid w:val="004930BC"/>
    <w:rsid w:val="00497DA9"/>
    <w:rsid w:val="004B1E5B"/>
    <w:rsid w:val="004B38E2"/>
    <w:rsid w:val="004B5594"/>
    <w:rsid w:val="004C3DF5"/>
    <w:rsid w:val="004C4B17"/>
    <w:rsid w:val="004C739E"/>
    <w:rsid w:val="004C7F99"/>
    <w:rsid w:val="00500067"/>
    <w:rsid w:val="00503EC2"/>
    <w:rsid w:val="00504AFB"/>
    <w:rsid w:val="00505BD7"/>
    <w:rsid w:val="00513AE5"/>
    <w:rsid w:val="00515AAE"/>
    <w:rsid w:val="00520181"/>
    <w:rsid w:val="00521DFD"/>
    <w:rsid w:val="005256DA"/>
    <w:rsid w:val="005322E8"/>
    <w:rsid w:val="00540F2F"/>
    <w:rsid w:val="005436D8"/>
    <w:rsid w:val="00550AD1"/>
    <w:rsid w:val="00560DA5"/>
    <w:rsid w:val="005678F9"/>
    <w:rsid w:val="00584689"/>
    <w:rsid w:val="00585AD6"/>
    <w:rsid w:val="00592530"/>
    <w:rsid w:val="005A030D"/>
    <w:rsid w:val="005A0EA8"/>
    <w:rsid w:val="005A209B"/>
    <w:rsid w:val="005A33B8"/>
    <w:rsid w:val="005B22E8"/>
    <w:rsid w:val="005C4964"/>
    <w:rsid w:val="005C58A4"/>
    <w:rsid w:val="005D374D"/>
    <w:rsid w:val="005D4CAA"/>
    <w:rsid w:val="00600DE3"/>
    <w:rsid w:val="00606DF5"/>
    <w:rsid w:val="0061064C"/>
    <w:rsid w:val="00626192"/>
    <w:rsid w:val="00647AE7"/>
    <w:rsid w:val="00663243"/>
    <w:rsid w:val="0066679E"/>
    <w:rsid w:val="0067016F"/>
    <w:rsid w:val="006746FB"/>
    <w:rsid w:val="00677BFF"/>
    <w:rsid w:val="006905A5"/>
    <w:rsid w:val="0069064E"/>
    <w:rsid w:val="00692E70"/>
    <w:rsid w:val="0069500D"/>
    <w:rsid w:val="006A0232"/>
    <w:rsid w:val="006A3253"/>
    <w:rsid w:val="006A51EB"/>
    <w:rsid w:val="006B3FFF"/>
    <w:rsid w:val="006C0556"/>
    <w:rsid w:val="006C08AB"/>
    <w:rsid w:val="006C5AEE"/>
    <w:rsid w:val="006C5FF4"/>
    <w:rsid w:val="006E250D"/>
    <w:rsid w:val="006F66DD"/>
    <w:rsid w:val="00704642"/>
    <w:rsid w:val="007049D8"/>
    <w:rsid w:val="007109DB"/>
    <w:rsid w:val="0071477B"/>
    <w:rsid w:val="00722D2A"/>
    <w:rsid w:val="0072303D"/>
    <w:rsid w:val="00742015"/>
    <w:rsid w:val="00757301"/>
    <w:rsid w:val="007A237A"/>
    <w:rsid w:val="007A368E"/>
    <w:rsid w:val="007A3E6B"/>
    <w:rsid w:val="007A5811"/>
    <w:rsid w:val="007B2711"/>
    <w:rsid w:val="007C3EF9"/>
    <w:rsid w:val="007C75D9"/>
    <w:rsid w:val="007D1928"/>
    <w:rsid w:val="007D41B4"/>
    <w:rsid w:val="007D7A0E"/>
    <w:rsid w:val="007E65BF"/>
    <w:rsid w:val="007F08DE"/>
    <w:rsid w:val="008237B1"/>
    <w:rsid w:val="00827936"/>
    <w:rsid w:val="008347F4"/>
    <w:rsid w:val="00835DC9"/>
    <w:rsid w:val="00840CE4"/>
    <w:rsid w:val="008434E6"/>
    <w:rsid w:val="008450E4"/>
    <w:rsid w:val="00845AD4"/>
    <w:rsid w:val="0084654A"/>
    <w:rsid w:val="00851B37"/>
    <w:rsid w:val="00861EC4"/>
    <w:rsid w:val="008663A9"/>
    <w:rsid w:val="00870975"/>
    <w:rsid w:val="00871EF9"/>
    <w:rsid w:val="008744B5"/>
    <w:rsid w:val="00881C96"/>
    <w:rsid w:val="00882C44"/>
    <w:rsid w:val="00886BF0"/>
    <w:rsid w:val="008969DC"/>
    <w:rsid w:val="00896D01"/>
    <w:rsid w:val="008A2FC7"/>
    <w:rsid w:val="008A5540"/>
    <w:rsid w:val="008A7E9C"/>
    <w:rsid w:val="008B78B0"/>
    <w:rsid w:val="008D7059"/>
    <w:rsid w:val="008E4B49"/>
    <w:rsid w:val="008E4D69"/>
    <w:rsid w:val="008E57D5"/>
    <w:rsid w:val="009040C5"/>
    <w:rsid w:val="009221C2"/>
    <w:rsid w:val="00943FA7"/>
    <w:rsid w:val="009460E8"/>
    <w:rsid w:val="00950DA4"/>
    <w:rsid w:val="00956975"/>
    <w:rsid w:val="0095753E"/>
    <w:rsid w:val="0096510A"/>
    <w:rsid w:val="00970A0B"/>
    <w:rsid w:val="00971D22"/>
    <w:rsid w:val="00991460"/>
    <w:rsid w:val="00993BCE"/>
    <w:rsid w:val="009C2F5B"/>
    <w:rsid w:val="009C5229"/>
    <w:rsid w:val="009D1C7E"/>
    <w:rsid w:val="009D2CAA"/>
    <w:rsid w:val="009D7CCF"/>
    <w:rsid w:val="009E2AB5"/>
    <w:rsid w:val="009E5F9B"/>
    <w:rsid w:val="009F2369"/>
    <w:rsid w:val="009F2AD0"/>
    <w:rsid w:val="00A11C6C"/>
    <w:rsid w:val="00A15AC6"/>
    <w:rsid w:val="00A43A4F"/>
    <w:rsid w:val="00A51CDF"/>
    <w:rsid w:val="00A639EA"/>
    <w:rsid w:val="00A640E7"/>
    <w:rsid w:val="00A72481"/>
    <w:rsid w:val="00A91511"/>
    <w:rsid w:val="00AA3333"/>
    <w:rsid w:val="00AA4224"/>
    <w:rsid w:val="00AB4E31"/>
    <w:rsid w:val="00AC683D"/>
    <w:rsid w:val="00AC7ADA"/>
    <w:rsid w:val="00AE211F"/>
    <w:rsid w:val="00AE7F6D"/>
    <w:rsid w:val="00AF1E62"/>
    <w:rsid w:val="00B071A4"/>
    <w:rsid w:val="00B12FCA"/>
    <w:rsid w:val="00B21196"/>
    <w:rsid w:val="00B26BEE"/>
    <w:rsid w:val="00B30043"/>
    <w:rsid w:val="00B328C6"/>
    <w:rsid w:val="00B33B75"/>
    <w:rsid w:val="00B76239"/>
    <w:rsid w:val="00B9527A"/>
    <w:rsid w:val="00B95726"/>
    <w:rsid w:val="00BA381F"/>
    <w:rsid w:val="00BB09A6"/>
    <w:rsid w:val="00BC7C23"/>
    <w:rsid w:val="00BD39F5"/>
    <w:rsid w:val="00BD7D44"/>
    <w:rsid w:val="00BE6D00"/>
    <w:rsid w:val="00BE6D12"/>
    <w:rsid w:val="00BF4A92"/>
    <w:rsid w:val="00BF5501"/>
    <w:rsid w:val="00BF58EF"/>
    <w:rsid w:val="00C015F6"/>
    <w:rsid w:val="00C149E0"/>
    <w:rsid w:val="00C15442"/>
    <w:rsid w:val="00C23331"/>
    <w:rsid w:val="00C2761E"/>
    <w:rsid w:val="00C54754"/>
    <w:rsid w:val="00C67403"/>
    <w:rsid w:val="00C762E6"/>
    <w:rsid w:val="00C851FE"/>
    <w:rsid w:val="00C86F00"/>
    <w:rsid w:val="00C87CCF"/>
    <w:rsid w:val="00CA0C29"/>
    <w:rsid w:val="00CA1D3C"/>
    <w:rsid w:val="00CB2A9A"/>
    <w:rsid w:val="00CB2CE6"/>
    <w:rsid w:val="00CC5D45"/>
    <w:rsid w:val="00CE154D"/>
    <w:rsid w:val="00CE7FE2"/>
    <w:rsid w:val="00CF3211"/>
    <w:rsid w:val="00D0512E"/>
    <w:rsid w:val="00D13AEE"/>
    <w:rsid w:val="00D20330"/>
    <w:rsid w:val="00D21A1A"/>
    <w:rsid w:val="00D23DD1"/>
    <w:rsid w:val="00D47A38"/>
    <w:rsid w:val="00D56A72"/>
    <w:rsid w:val="00D85170"/>
    <w:rsid w:val="00D86F56"/>
    <w:rsid w:val="00D960DB"/>
    <w:rsid w:val="00DA3BBC"/>
    <w:rsid w:val="00DB0E62"/>
    <w:rsid w:val="00DB5D95"/>
    <w:rsid w:val="00DC48FE"/>
    <w:rsid w:val="00DD0865"/>
    <w:rsid w:val="00DD5962"/>
    <w:rsid w:val="00DF297D"/>
    <w:rsid w:val="00E16A97"/>
    <w:rsid w:val="00E171A6"/>
    <w:rsid w:val="00E31E4E"/>
    <w:rsid w:val="00E44A9C"/>
    <w:rsid w:val="00E450CE"/>
    <w:rsid w:val="00E47E59"/>
    <w:rsid w:val="00E53D89"/>
    <w:rsid w:val="00E64759"/>
    <w:rsid w:val="00E65DC1"/>
    <w:rsid w:val="00E66A1E"/>
    <w:rsid w:val="00E91930"/>
    <w:rsid w:val="00EA719B"/>
    <w:rsid w:val="00EA7F4B"/>
    <w:rsid w:val="00EC099E"/>
    <w:rsid w:val="00EC09FF"/>
    <w:rsid w:val="00ED3E5E"/>
    <w:rsid w:val="00EE204A"/>
    <w:rsid w:val="00EE45A5"/>
    <w:rsid w:val="00EF091A"/>
    <w:rsid w:val="00EF6561"/>
    <w:rsid w:val="00F03C69"/>
    <w:rsid w:val="00F11C7E"/>
    <w:rsid w:val="00F2407D"/>
    <w:rsid w:val="00F279BF"/>
    <w:rsid w:val="00F34EC8"/>
    <w:rsid w:val="00F34F38"/>
    <w:rsid w:val="00F45B3D"/>
    <w:rsid w:val="00F4796A"/>
    <w:rsid w:val="00F512E0"/>
    <w:rsid w:val="00F604B3"/>
    <w:rsid w:val="00F72173"/>
    <w:rsid w:val="00F7636F"/>
    <w:rsid w:val="00F83BC2"/>
    <w:rsid w:val="00FB2B74"/>
    <w:rsid w:val="00FB606A"/>
    <w:rsid w:val="00FC1D45"/>
    <w:rsid w:val="00FD4A8C"/>
    <w:rsid w:val="00FE2FEC"/>
    <w:rsid w:val="00FF3E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61C0"/>
  <w15:chartTrackingRefBased/>
  <w15:docId w15:val="{C47C1DDD-9365-4182-8F5B-3953CEB9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C2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3D3BE4"/>
    <w:pPr>
      <w:keepNext/>
      <w:outlineLvl w:val="1"/>
    </w:pPr>
    <w:rPr>
      <w:rFonts w:ascii="Arial Narrow" w:hAnsi="Arial Narrow" w:cs="Arial"/>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C2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e 1,List Paragraph1"/>
    <w:basedOn w:val="Normal"/>
    <w:link w:val="ListParagraphChar"/>
    <w:uiPriority w:val="34"/>
    <w:qFormat/>
    <w:rsid w:val="00BC7C23"/>
    <w:pPr>
      <w:ind w:left="720"/>
      <w:contextualSpacing/>
    </w:pPr>
  </w:style>
  <w:style w:type="character" w:customStyle="1" w:styleId="Heading2Char">
    <w:name w:val="Heading 2 Char"/>
    <w:basedOn w:val="DefaultParagraphFont"/>
    <w:link w:val="Heading2"/>
    <w:rsid w:val="003D3BE4"/>
    <w:rPr>
      <w:rFonts w:ascii="Arial Narrow" w:eastAsia="Times New Roman" w:hAnsi="Arial Narrow" w:cs="Arial"/>
      <w:b/>
      <w:bCs/>
      <w:sz w:val="24"/>
      <w:szCs w:val="24"/>
      <w:lang w:val="sl-SI"/>
    </w:rPr>
  </w:style>
  <w:style w:type="paragraph" w:styleId="PlainText">
    <w:name w:val="Plain Text"/>
    <w:basedOn w:val="Normal"/>
    <w:link w:val="PlainTextChar"/>
    <w:uiPriority w:val="99"/>
    <w:unhideWhenUsed/>
    <w:rsid w:val="003D3BE4"/>
    <w:rPr>
      <w:rFonts w:ascii="Calibri" w:eastAsia="Calibri" w:hAnsi="Calibri"/>
      <w:sz w:val="22"/>
      <w:szCs w:val="21"/>
    </w:rPr>
  </w:style>
  <w:style w:type="character" w:customStyle="1" w:styleId="PlainTextChar">
    <w:name w:val="Plain Text Char"/>
    <w:basedOn w:val="DefaultParagraphFont"/>
    <w:link w:val="PlainText"/>
    <w:uiPriority w:val="99"/>
    <w:rsid w:val="003D3BE4"/>
    <w:rPr>
      <w:rFonts w:ascii="Calibri" w:eastAsia="Calibri" w:hAnsi="Calibri" w:cs="Times New Roman"/>
      <w:szCs w:val="21"/>
      <w:lang w:val="en-US"/>
    </w:rPr>
  </w:style>
  <w:style w:type="paragraph" w:styleId="FootnoteText">
    <w:name w:val="footnote text"/>
    <w:basedOn w:val="Normal"/>
    <w:link w:val="FootnoteTextChar"/>
    <w:uiPriority w:val="99"/>
    <w:rsid w:val="002C2C3E"/>
    <w:rPr>
      <w:rFonts w:ascii="Calibri" w:eastAsia="PMingLiU" w:hAnsi="Calibri"/>
      <w:sz w:val="20"/>
      <w:szCs w:val="20"/>
      <w:lang w:eastAsia="zh-TW"/>
    </w:rPr>
  </w:style>
  <w:style w:type="character" w:customStyle="1" w:styleId="FootnoteTextChar">
    <w:name w:val="Footnote Text Char"/>
    <w:basedOn w:val="DefaultParagraphFont"/>
    <w:link w:val="FootnoteText"/>
    <w:uiPriority w:val="99"/>
    <w:rsid w:val="002C2C3E"/>
    <w:rPr>
      <w:rFonts w:ascii="Calibri" w:eastAsia="PMingLiU" w:hAnsi="Calibri" w:cs="Times New Roman"/>
      <w:sz w:val="20"/>
      <w:szCs w:val="20"/>
      <w:lang w:val="en-US" w:eastAsia="zh-TW"/>
    </w:rPr>
  </w:style>
  <w:style w:type="character" w:styleId="FootnoteReference">
    <w:name w:val="footnote reference"/>
    <w:aliases w:val="16 Point,Superscript 6 Point,ftref,BVI fnr,Footnote Reference Number,Footnote Reference_LVL6,Footnote Reference_LVL61,Footnote Reference_LVL62,Footnote Reference_LVL63,Footnote Reference_LVL64,fr,Знак сноски-FN"/>
    <w:uiPriority w:val="99"/>
    <w:rsid w:val="002C2C3E"/>
    <w:rPr>
      <w:vertAlign w:val="superscript"/>
    </w:rPr>
  </w:style>
  <w:style w:type="paragraph" w:styleId="NormalWeb">
    <w:name w:val="Normal (Web)"/>
    <w:basedOn w:val="Normal"/>
    <w:uiPriority w:val="99"/>
    <w:unhideWhenUsed/>
    <w:rsid w:val="0095753E"/>
    <w:rPr>
      <w:rFonts w:eastAsiaTheme="minorHAnsi"/>
      <w:color w:val="000000"/>
      <w:lang w:val="en-GB" w:eastAsia="en-GB"/>
    </w:rPr>
  </w:style>
  <w:style w:type="character" w:customStyle="1" w:styleId="ListParagraphChar">
    <w:name w:val="List Paragraph Char"/>
    <w:aliases w:val="Liste 1 Char,List Paragraph1 Char"/>
    <w:link w:val="ListParagraph"/>
    <w:uiPriority w:val="34"/>
    <w:qFormat/>
    <w:rsid w:val="00241A8A"/>
    <w:rPr>
      <w:rFonts w:ascii="Times New Roman" w:eastAsia="Times New Roman" w:hAnsi="Times New Roman" w:cs="Times New Roman"/>
      <w:sz w:val="24"/>
      <w:szCs w:val="24"/>
      <w:lang w:val="en-US"/>
    </w:rPr>
  </w:style>
  <w:style w:type="paragraph" w:styleId="NoSpacing">
    <w:name w:val="No Spacing"/>
    <w:uiPriority w:val="1"/>
    <w:qFormat/>
    <w:rsid w:val="00B12FCA"/>
    <w:pPr>
      <w:spacing w:after="0" w:line="240" w:lineRule="auto"/>
    </w:pPr>
    <w:rPr>
      <w:rFonts w:ascii="Calibri" w:eastAsia="Times New Roman" w:hAnsi="Calibri" w:cs="Calibri"/>
      <w:lang w:val="en-US"/>
    </w:rPr>
  </w:style>
  <w:style w:type="character" w:styleId="Hyperlink">
    <w:name w:val="Hyperlink"/>
    <w:basedOn w:val="DefaultParagraphFont"/>
    <w:uiPriority w:val="99"/>
    <w:unhideWhenUsed/>
    <w:rsid w:val="00BD39F5"/>
    <w:rPr>
      <w:color w:val="0000FF"/>
      <w:u w:val="single"/>
    </w:rPr>
  </w:style>
  <w:style w:type="character" w:customStyle="1" w:styleId="downloadlinklink">
    <w:name w:val="download_link_link"/>
    <w:basedOn w:val="DefaultParagraphFont"/>
    <w:rsid w:val="00BD39F5"/>
  </w:style>
  <w:style w:type="character" w:styleId="FollowedHyperlink">
    <w:name w:val="FollowedHyperlink"/>
    <w:basedOn w:val="DefaultParagraphFont"/>
    <w:uiPriority w:val="99"/>
    <w:semiHidden/>
    <w:unhideWhenUsed/>
    <w:rsid w:val="00BD39F5"/>
    <w:rPr>
      <w:color w:val="954F72" w:themeColor="followedHyperlink"/>
      <w:u w:val="single"/>
    </w:rPr>
  </w:style>
  <w:style w:type="paragraph" w:styleId="BalloonText">
    <w:name w:val="Balloon Text"/>
    <w:basedOn w:val="Normal"/>
    <w:link w:val="BalloonTextChar"/>
    <w:uiPriority w:val="99"/>
    <w:semiHidden/>
    <w:unhideWhenUsed/>
    <w:rsid w:val="00C154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44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4915">
      <w:bodyDiv w:val="1"/>
      <w:marLeft w:val="0"/>
      <w:marRight w:val="0"/>
      <w:marTop w:val="0"/>
      <w:marBottom w:val="0"/>
      <w:divBdr>
        <w:top w:val="none" w:sz="0" w:space="0" w:color="auto"/>
        <w:left w:val="none" w:sz="0" w:space="0" w:color="auto"/>
        <w:bottom w:val="none" w:sz="0" w:space="0" w:color="auto"/>
        <w:right w:val="none" w:sz="0" w:space="0" w:color="auto"/>
      </w:divBdr>
    </w:div>
    <w:div w:id="171529464">
      <w:bodyDiv w:val="1"/>
      <w:marLeft w:val="0"/>
      <w:marRight w:val="0"/>
      <w:marTop w:val="0"/>
      <w:marBottom w:val="0"/>
      <w:divBdr>
        <w:top w:val="none" w:sz="0" w:space="0" w:color="auto"/>
        <w:left w:val="none" w:sz="0" w:space="0" w:color="auto"/>
        <w:bottom w:val="none" w:sz="0" w:space="0" w:color="auto"/>
        <w:right w:val="none" w:sz="0" w:space="0" w:color="auto"/>
      </w:divBdr>
    </w:div>
    <w:div w:id="231888533">
      <w:bodyDiv w:val="1"/>
      <w:marLeft w:val="0"/>
      <w:marRight w:val="0"/>
      <w:marTop w:val="0"/>
      <w:marBottom w:val="0"/>
      <w:divBdr>
        <w:top w:val="none" w:sz="0" w:space="0" w:color="auto"/>
        <w:left w:val="none" w:sz="0" w:space="0" w:color="auto"/>
        <w:bottom w:val="none" w:sz="0" w:space="0" w:color="auto"/>
        <w:right w:val="none" w:sz="0" w:space="0" w:color="auto"/>
      </w:divBdr>
    </w:div>
    <w:div w:id="288097234">
      <w:bodyDiv w:val="1"/>
      <w:marLeft w:val="0"/>
      <w:marRight w:val="0"/>
      <w:marTop w:val="0"/>
      <w:marBottom w:val="0"/>
      <w:divBdr>
        <w:top w:val="none" w:sz="0" w:space="0" w:color="auto"/>
        <w:left w:val="none" w:sz="0" w:space="0" w:color="auto"/>
        <w:bottom w:val="none" w:sz="0" w:space="0" w:color="auto"/>
        <w:right w:val="none" w:sz="0" w:space="0" w:color="auto"/>
      </w:divBdr>
    </w:div>
    <w:div w:id="731738228">
      <w:bodyDiv w:val="1"/>
      <w:marLeft w:val="0"/>
      <w:marRight w:val="0"/>
      <w:marTop w:val="0"/>
      <w:marBottom w:val="0"/>
      <w:divBdr>
        <w:top w:val="none" w:sz="0" w:space="0" w:color="auto"/>
        <w:left w:val="none" w:sz="0" w:space="0" w:color="auto"/>
        <w:bottom w:val="none" w:sz="0" w:space="0" w:color="auto"/>
        <w:right w:val="none" w:sz="0" w:space="0" w:color="auto"/>
      </w:divBdr>
    </w:div>
    <w:div w:id="787896505">
      <w:bodyDiv w:val="1"/>
      <w:marLeft w:val="0"/>
      <w:marRight w:val="0"/>
      <w:marTop w:val="0"/>
      <w:marBottom w:val="0"/>
      <w:divBdr>
        <w:top w:val="none" w:sz="0" w:space="0" w:color="auto"/>
        <w:left w:val="none" w:sz="0" w:space="0" w:color="auto"/>
        <w:bottom w:val="none" w:sz="0" w:space="0" w:color="auto"/>
        <w:right w:val="none" w:sz="0" w:space="0" w:color="auto"/>
      </w:divBdr>
    </w:div>
    <w:div w:id="859245103">
      <w:bodyDiv w:val="1"/>
      <w:marLeft w:val="0"/>
      <w:marRight w:val="0"/>
      <w:marTop w:val="0"/>
      <w:marBottom w:val="0"/>
      <w:divBdr>
        <w:top w:val="none" w:sz="0" w:space="0" w:color="auto"/>
        <w:left w:val="none" w:sz="0" w:space="0" w:color="auto"/>
        <w:bottom w:val="none" w:sz="0" w:space="0" w:color="auto"/>
        <w:right w:val="none" w:sz="0" w:space="0" w:color="auto"/>
      </w:divBdr>
    </w:div>
    <w:div w:id="913852957">
      <w:bodyDiv w:val="1"/>
      <w:marLeft w:val="0"/>
      <w:marRight w:val="0"/>
      <w:marTop w:val="0"/>
      <w:marBottom w:val="0"/>
      <w:divBdr>
        <w:top w:val="none" w:sz="0" w:space="0" w:color="auto"/>
        <w:left w:val="none" w:sz="0" w:space="0" w:color="auto"/>
        <w:bottom w:val="none" w:sz="0" w:space="0" w:color="auto"/>
        <w:right w:val="none" w:sz="0" w:space="0" w:color="auto"/>
      </w:divBdr>
    </w:div>
    <w:div w:id="1068459297">
      <w:bodyDiv w:val="1"/>
      <w:marLeft w:val="0"/>
      <w:marRight w:val="0"/>
      <w:marTop w:val="0"/>
      <w:marBottom w:val="0"/>
      <w:divBdr>
        <w:top w:val="none" w:sz="0" w:space="0" w:color="auto"/>
        <w:left w:val="none" w:sz="0" w:space="0" w:color="auto"/>
        <w:bottom w:val="none" w:sz="0" w:space="0" w:color="auto"/>
        <w:right w:val="none" w:sz="0" w:space="0" w:color="auto"/>
      </w:divBdr>
    </w:div>
    <w:div w:id="1074158305">
      <w:bodyDiv w:val="1"/>
      <w:marLeft w:val="0"/>
      <w:marRight w:val="0"/>
      <w:marTop w:val="0"/>
      <w:marBottom w:val="0"/>
      <w:divBdr>
        <w:top w:val="none" w:sz="0" w:space="0" w:color="auto"/>
        <w:left w:val="none" w:sz="0" w:space="0" w:color="auto"/>
        <w:bottom w:val="none" w:sz="0" w:space="0" w:color="auto"/>
        <w:right w:val="none" w:sz="0" w:space="0" w:color="auto"/>
      </w:divBdr>
    </w:div>
    <w:div w:id="1075666310">
      <w:bodyDiv w:val="1"/>
      <w:marLeft w:val="0"/>
      <w:marRight w:val="0"/>
      <w:marTop w:val="0"/>
      <w:marBottom w:val="0"/>
      <w:divBdr>
        <w:top w:val="none" w:sz="0" w:space="0" w:color="auto"/>
        <w:left w:val="none" w:sz="0" w:space="0" w:color="auto"/>
        <w:bottom w:val="none" w:sz="0" w:space="0" w:color="auto"/>
        <w:right w:val="none" w:sz="0" w:space="0" w:color="auto"/>
      </w:divBdr>
    </w:div>
    <w:div w:id="1111782366">
      <w:bodyDiv w:val="1"/>
      <w:marLeft w:val="0"/>
      <w:marRight w:val="0"/>
      <w:marTop w:val="0"/>
      <w:marBottom w:val="0"/>
      <w:divBdr>
        <w:top w:val="none" w:sz="0" w:space="0" w:color="auto"/>
        <w:left w:val="none" w:sz="0" w:space="0" w:color="auto"/>
        <w:bottom w:val="none" w:sz="0" w:space="0" w:color="auto"/>
        <w:right w:val="none" w:sz="0" w:space="0" w:color="auto"/>
      </w:divBdr>
    </w:div>
    <w:div w:id="1217887647">
      <w:bodyDiv w:val="1"/>
      <w:marLeft w:val="0"/>
      <w:marRight w:val="0"/>
      <w:marTop w:val="0"/>
      <w:marBottom w:val="0"/>
      <w:divBdr>
        <w:top w:val="none" w:sz="0" w:space="0" w:color="auto"/>
        <w:left w:val="none" w:sz="0" w:space="0" w:color="auto"/>
        <w:bottom w:val="none" w:sz="0" w:space="0" w:color="auto"/>
        <w:right w:val="none" w:sz="0" w:space="0" w:color="auto"/>
      </w:divBdr>
    </w:div>
    <w:div w:id="1675457426">
      <w:bodyDiv w:val="1"/>
      <w:marLeft w:val="0"/>
      <w:marRight w:val="0"/>
      <w:marTop w:val="0"/>
      <w:marBottom w:val="0"/>
      <w:divBdr>
        <w:top w:val="none" w:sz="0" w:space="0" w:color="auto"/>
        <w:left w:val="none" w:sz="0" w:space="0" w:color="auto"/>
        <w:bottom w:val="none" w:sz="0" w:space="0" w:color="auto"/>
        <w:right w:val="none" w:sz="0" w:space="0" w:color="auto"/>
      </w:divBdr>
    </w:div>
    <w:div w:id="2005818987">
      <w:bodyDiv w:val="1"/>
      <w:marLeft w:val="0"/>
      <w:marRight w:val="0"/>
      <w:marTop w:val="0"/>
      <w:marBottom w:val="0"/>
      <w:divBdr>
        <w:top w:val="none" w:sz="0" w:space="0" w:color="auto"/>
        <w:left w:val="none" w:sz="0" w:space="0" w:color="auto"/>
        <w:bottom w:val="none" w:sz="0" w:space="0" w:color="auto"/>
        <w:right w:val="none" w:sz="0" w:space="0" w:color="auto"/>
      </w:divBdr>
      <w:divsChild>
        <w:div w:id="1378508716">
          <w:marLeft w:val="0"/>
          <w:marRight w:val="0"/>
          <w:marTop w:val="0"/>
          <w:marBottom w:val="0"/>
          <w:divBdr>
            <w:top w:val="none" w:sz="0" w:space="0" w:color="auto"/>
            <w:left w:val="none" w:sz="0" w:space="0" w:color="auto"/>
            <w:bottom w:val="none" w:sz="0" w:space="0" w:color="auto"/>
            <w:right w:val="none" w:sz="0" w:space="0" w:color="auto"/>
          </w:divBdr>
        </w:div>
      </w:divsChild>
    </w:div>
    <w:div w:id="20883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trola-nabavki.me/"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33D14-B66D-417D-9535-4D791262F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Jasmina Murić</cp:lastModifiedBy>
  <cp:revision>3</cp:revision>
  <cp:lastPrinted>2022-11-25T13:05:00Z</cp:lastPrinted>
  <dcterms:created xsi:type="dcterms:W3CDTF">2024-01-10T13:48:00Z</dcterms:created>
  <dcterms:modified xsi:type="dcterms:W3CDTF">2024-01-10T13:49:00Z</dcterms:modified>
</cp:coreProperties>
</file>