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19CD" w14:textId="77777777" w:rsidR="00007A05" w:rsidRDefault="00007A05" w:rsidP="00007A05">
      <w:pPr>
        <w:jc w:val="right"/>
        <w:rPr>
          <w:rFonts w:ascii="Arial" w:hAnsi="Arial" w:cs="Arial"/>
          <w:b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6962A3B7" w14:textId="77777777" w:rsidR="00007A05" w:rsidRDefault="00007A05" w:rsidP="00007A05">
      <w:pPr>
        <w:rPr>
          <w:rFonts w:ascii="Arial" w:hAnsi="Arial" w:cs="Arial"/>
          <w:color w:val="000000"/>
          <w:lang w:val="sr-Latn-ME"/>
        </w:rPr>
      </w:pPr>
    </w:p>
    <w:p w14:paraId="0C0803C5" w14:textId="77777777" w:rsidR="00007A05" w:rsidRPr="00007A05" w:rsidRDefault="00007A05" w:rsidP="00007A05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007A05">
        <w:rPr>
          <w:rFonts w:ascii="Arial" w:eastAsia="Calibri" w:hAnsi="Arial" w:cs="Arial"/>
          <w:sz w:val="22"/>
          <w:szCs w:val="22"/>
          <w:lang w:val="sr-Latn-ME"/>
        </w:rPr>
        <w:t xml:space="preserve">Crnogorski elektroprenosni sistem AD Podgorica </w:t>
      </w:r>
    </w:p>
    <w:p w14:paraId="2A856254" w14:textId="77777777" w:rsidR="00007A05" w:rsidRPr="00007A05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07A05">
        <w:rPr>
          <w:rFonts w:ascii="Arial" w:hAnsi="Arial" w:cs="Arial"/>
          <w:sz w:val="22"/>
          <w:szCs w:val="22"/>
          <w:lang w:val="sr-Latn-ME"/>
        </w:rPr>
        <w:t xml:space="preserve">Broj iz evidencije postupaka javnih nabavki: </w:t>
      </w:r>
      <w:r w:rsidRPr="00007A05">
        <w:rPr>
          <w:rFonts w:ascii="Arial" w:hAnsi="Arial" w:cs="Arial"/>
          <w:color w:val="000000"/>
          <w:sz w:val="22"/>
          <w:szCs w:val="22"/>
          <w:lang w:val="sr-Latn-ME"/>
        </w:rPr>
        <w:t>12/24</w:t>
      </w:r>
    </w:p>
    <w:p w14:paraId="5A19E81C" w14:textId="77777777" w:rsidR="00007A05" w:rsidRPr="00007A05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07A05">
        <w:rPr>
          <w:rFonts w:ascii="Arial" w:hAnsi="Arial" w:cs="Arial"/>
          <w:sz w:val="22"/>
          <w:szCs w:val="22"/>
          <w:lang w:val="sr-Latn-ME"/>
        </w:rPr>
        <w:t>Redni broj iz Plana javnih nabavki: 23</w:t>
      </w:r>
    </w:p>
    <w:p w14:paraId="2EEA71D5" w14:textId="62E4182A" w:rsidR="00007A05" w:rsidRPr="00007A05" w:rsidRDefault="00007A05" w:rsidP="00007A05">
      <w:p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007A05">
        <w:rPr>
          <w:rFonts w:ascii="Arial" w:hAnsi="Arial" w:cs="Arial"/>
          <w:sz w:val="22"/>
          <w:szCs w:val="22"/>
          <w:lang w:val="sr-Latn-ME"/>
        </w:rPr>
        <w:t>Podgorica,</w:t>
      </w:r>
      <w:r w:rsidR="00DF6A0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31E3C">
        <w:rPr>
          <w:rFonts w:ascii="Arial" w:hAnsi="Arial" w:cs="Arial"/>
          <w:sz w:val="22"/>
          <w:szCs w:val="22"/>
          <w:lang w:val="sr-Latn-ME"/>
        </w:rPr>
        <w:t>23.04.2024</w:t>
      </w:r>
      <w:r w:rsidRPr="00007A05">
        <w:rPr>
          <w:rFonts w:ascii="Arial" w:hAnsi="Arial" w:cs="Arial"/>
          <w:sz w:val="22"/>
          <w:szCs w:val="22"/>
          <w:lang w:val="sr-Latn-ME"/>
        </w:rPr>
        <w:t>. godine</w:t>
      </w:r>
    </w:p>
    <w:p w14:paraId="55C30E8F" w14:textId="77777777" w:rsidR="00007A05" w:rsidRDefault="00007A05" w:rsidP="00007A05">
      <w:pPr>
        <w:rPr>
          <w:rFonts w:ascii="Arial" w:hAnsi="Arial" w:cs="Arial"/>
          <w:lang w:val="sr-Latn-ME"/>
        </w:rPr>
      </w:pPr>
    </w:p>
    <w:p w14:paraId="37126326" w14:textId="77777777" w:rsidR="00007A05" w:rsidRDefault="00007A05" w:rsidP="00007A05">
      <w:pPr>
        <w:rPr>
          <w:rFonts w:ascii="Arial" w:hAnsi="Arial" w:cs="Arial"/>
          <w:lang w:val="sr-Latn-ME"/>
        </w:rPr>
      </w:pPr>
    </w:p>
    <w:p w14:paraId="577266D8" w14:textId="77777777" w:rsidR="00007A05" w:rsidRDefault="00007A05" w:rsidP="00007A05">
      <w:pPr>
        <w:rPr>
          <w:rFonts w:ascii="Arial" w:hAnsi="Arial" w:cs="Arial"/>
          <w:lang w:val="sr-Latn-ME"/>
        </w:rPr>
      </w:pPr>
    </w:p>
    <w:p w14:paraId="5A1C50E7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r w:rsidRPr="00007A05">
        <w:rPr>
          <w:rFonts w:ascii="Arial" w:hAnsi="Arial" w:cs="Arial"/>
          <w:sz w:val="22"/>
          <w:szCs w:val="22"/>
          <w:lang w:val="sr-Latn-ME"/>
        </w:rPr>
        <w:t xml:space="preserve">Na osnovu člana 53 stav 3 Zakona o javnim nabavkama („Službeni list CG“, br. 74/19, 3/23 i 11/23) </w:t>
      </w:r>
      <w:r w:rsidRPr="00007A05">
        <w:rPr>
          <w:rFonts w:ascii="Arial" w:eastAsia="Calibri" w:hAnsi="Arial" w:cs="Arial"/>
          <w:sz w:val="22"/>
          <w:szCs w:val="22"/>
          <w:lang w:val="sr-Latn-ME"/>
        </w:rPr>
        <w:t xml:space="preserve">Crnogorski elektroprenosni sistem AD Podgorica </w:t>
      </w:r>
      <w:r w:rsidRPr="00007A05">
        <w:rPr>
          <w:rFonts w:ascii="Arial" w:hAnsi="Arial" w:cs="Arial"/>
          <w:sz w:val="22"/>
          <w:szCs w:val="22"/>
          <w:lang w:val="sr-Latn-ME"/>
        </w:rPr>
        <w:t>objavljuje</w:t>
      </w:r>
    </w:p>
    <w:p w14:paraId="0B588A15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5EB60B23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08D630CF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1C1B28AD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58F44685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2E4235B5" w14:textId="77777777" w:rsidR="00007A05" w:rsidRPr="00007A05" w:rsidRDefault="00007A05" w:rsidP="00007A05">
      <w:pPr>
        <w:tabs>
          <w:tab w:val="left" w:pos="1276"/>
          <w:tab w:val="left" w:pos="3261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007A05">
        <w:rPr>
          <w:rFonts w:ascii="Arial" w:hAnsi="Arial" w:cs="Arial"/>
          <w:b/>
          <w:bCs/>
          <w:sz w:val="22"/>
          <w:szCs w:val="22"/>
          <w:lang w:val="sr-Latn-ME"/>
        </w:rPr>
        <w:t xml:space="preserve">                                          </w:t>
      </w:r>
      <w:r w:rsidRPr="00007A05">
        <w:rPr>
          <w:rFonts w:ascii="Arial" w:hAnsi="Arial" w:cs="Arial"/>
          <w:b/>
          <w:bCs/>
          <w:sz w:val="22"/>
          <w:szCs w:val="22"/>
          <w:lang w:val="sr-Latn-ME"/>
        </w:rPr>
        <w:tab/>
      </w:r>
      <w:r w:rsidRPr="00007A05">
        <w:rPr>
          <w:rFonts w:ascii="Arial" w:hAnsi="Arial" w:cs="Arial"/>
          <w:bCs/>
          <w:sz w:val="22"/>
          <w:szCs w:val="22"/>
          <w:lang w:val="sr-Latn-ME"/>
        </w:rPr>
        <w:t xml:space="preserve">                                                      </w:t>
      </w:r>
    </w:p>
    <w:p w14:paraId="3D132EFB" w14:textId="77777777" w:rsidR="00007A05" w:rsidRPr="00007A05" w:rsidRDefault="00007A05" w:rsidP="00007A05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sr-Latn-ME"/>
        </w:rPr>
      </w:pPr>
    </w:p>
    <w:p w14:paraId="23FE1EF0" w14:textId="77777777" w:rsidR="00007A05" w:rsidRPr="00007A05" w:rsidRDefault="00007A05" w:rsidP="00007A05">
      <w:pPr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007A05">
        <w:rPr>
          <w:rFonts w:ascii="Arial" w:hAnsi="Arial" w:cs="Arial"/>
          <w:b/>
          <w:bCs/>
          <w:sz w:val="22"/>
          <w:szCs w:val="22"/>
          <w:lang w:val="sr-Latn-ME"/>
        </w:rPr>
        <w:t>TENDERSKU DOKUMENTACIJU</w:t>
      </w:r>
    </w:p>
    <w:p w14:paraId="66F5A92A" w14:textId="77777777" w:rsidR="00007A05" w:rsidRPr="00007A05" w:rsidRDefault="00007A05" w:rsidP="00007A05">
      <w:pPr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007A05">
        <w:rPr>
          <w:rFonts w:ascii="Arial" w:hAnsi="Arial" w:cs="Arial"/>
          <w:b/>
          <w:bCs/>
          <w:sz w:val="22"/>
          <w:szCs w:val="22"/>
          <w:lang w:val="sr-Latn-ME"/>
        </w:rPr>
        <w:t>ZA OTVORENI POSTUPAK JAVNE NABAVKE</w:t>
      </w:r>
    </w:p>
    <w:p w14:paraId="79679123" w14:textId="77777777" w:rsidR="00007A05" w:rsidRPr="00007A05" w:rsidRDefault="00007A05" w:rsidP="00007A05">
      <w:pPr>
        <w:spacing w:after="160" w:line="259" w:lineRule="auto"/>
        <w:rPr>
          <w:rFonts w:ascii="Arial" w:eastAsia="Calibri" w:hAnsi="Arial" w:cs="Arial"/>
          <w:sz w:val="22"/>
          <w:szCs w:val="22"/>
          <w:lang w:val="sr-Latn-ME"/>
        </w:rPr>
      </w:pPr>
    </w:p>
    <w:p w14:paraId="1537E69A" w14:textId="77777777" w:rsidR="00007A05" w:rsidRP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  <w:r w:rsidRPr="00007A05"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  <w:t>Nabavka i implementacija sistema tehničke zaštite</w:t>
      </w:r>
    </w:p>
    <w:p w14:paraId="1C96513A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79620E77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29A6E31E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4651236F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0C8C3428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5E01F050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73BC7A69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422D0D57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354C7D4E" w14:textId="77777777" w:rsid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28CB99CF" w14:textId="77777777" w:rsidR="00007A05" w:rsidRPr="00007A05" w:rsidRDefault="00007A05" w:rsidP="00007A05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it-IT" w:eastAsia="sr-Latn-ME"/>
        </w:rPr>
      </w:pPr>
    </w:p>
    <w:p w14:paraId="4DB6E926" w14:textId="77777777" w:rsidR="00007A05" w:rsidRPr="00007A05" w:rsidRDefault="00007A05" w:rsidP="00007A05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14:paraId="7D1B30CA" w14:textId="77777777" w:rsidR="00007A05" w:rsidRPr="00007A05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07A05">
        <w:rPr>
          <w:rFonts w:ascii="Arial" w:hAnsi="Arial" w:cs="Arial"/>
          <w:sz w:val="22"/>
          <w:szCs w:val="22"/>
          <w:lang w:val="sr-Latn-ME"/>
        </w:rPr>
        <w:t>Predmet nabavke se nabavlja:</w:t>
      </w:r>
    </w:p>
    <w:p w14:paraId="172BBB5B" w14:textId="77777777" w:rsidR="00007A05" w:rsidRPr="00007A05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3BF6336" w14:textId="22692BA9" w:rsidR="00007A05" w:rsidRPr="00007A05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007A05">
        <w:rPr>
          <w:rFonts w:ascii="Arial" w:hAnsi="Arial" w:cs="Arial"/>
          <w:sz w:val="22"/>
          <w:szCs w:val="22"/>
          <w:lang w:val="sr-Latn-ME"/>
        </w:rPr>
        <w:t xml:space="preserve"> kao cjelina </w:t>
      </w:r>
    </w:p>
    <w:p w14:paraId="604DB73A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207B1725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2D33AF93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32E358AB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56CD6FC9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22465FCB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00D5A632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1F558F87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306FECD6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50DD94F6" w14:textId="77777777" w:rsidR="00007A05" w:rsidRPr="00007A05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683391DF" w14:textId="77777777" w:rsidR="00007A05" w:rsidRDefault="00007A05" w:rsidP="00007A05">
      <w:pPr>
        <w:rPr>
          <w:rFonts w:ascii="Arial" w:hAnsi="Arial" w:cs="Arial"/>
          <w:color w:val="000000"/>
          <w:lang w:val="sr-Latn-ME"/>
        </w:rPr>
      </w:pPr>
    </w:p>
    <w:p w14:paraId="66CB4AAD" w14:textId="77777777" w:rsidR="00007A05" w:rsidRDefault="00007A05" w:rsidP="00007A05">
      <w:pPr>
        <w:rPr>
          <w:rFonts w:ascii="Arial" w:hAnsi="Arial" w:cs="Arial"/>
          <w:color w:val="000000"/>
          <w:lang w:val="sr-Latn-ME"/>
        </w:rPr>
      </w:pPr>
    </w:p>
    <w:p w14:paraId="1FFCB713" w14:textId="77777777" w:rsidR="00007A05" w:rsidRDefault="00007A05" w:rsidP="00007A05">
      <w:pPr>
        <w:rPr>
          <w:rFonts w:ascii="Arial" w:hAnsi="Arial" w:cs="Arial"/>
          <w:color w:val="000000"/>
          <w:lang w:val="sr-Latn-ME"/>
        </w:rPr>
      </w:pPr>
    </w:p>
    <w:p w14:paraId="3D0820C7" w14:textId="77777777" w:rsidR="00007A05" w:rsidRDefault="00007A05" w:rsidP="00007A05">
      <w:pPr>
        <w:rPr>
          <w:rFonts w:ascii="Arial" w:hAnsi="Arial" w:cs="Arial"/>
          <w:color w:val="000000"/>
          <w:lang w:val="sr-Latn-ME"/>
        </w:rPr>
      </w:pPr>
    </w:p>
    <w:p w14:paraId="7BDE5A11" w14:textId="77777777" w:rsidR="00007A05" w:rsidRDefault="00007A05" w:rsidP="00007A05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0" w:name="_Toc62730553"/>
      <w:r>
        <w:rPr>
          <w:rFonts w:ascii="Arial" w:hAnsi="Arial"/>
          <w:b/>
          <w:color w:val="000000"/>
          <w:szCs w:val="32"/>
          <w:lang w:val="sr-Latn-ME"/>
        </w:rPr>
        <w:t>POZIV ZA NADMETANJE</w:t>
      </w:r>
      <w:r>
        <w:rPr>
          <w:color w:val="000000"/>
          <w:vertAlign w:val="superscript"/>
        </w:rPr>
        <w:footnoteReference w:id="1"/>
      </w:r>
      <w:bookmarkEnd w:id="0"/>
      <w:r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4C1A5D3B" w14:textId="531D8589" w:rsidR="00007A05" w:rsidRDefault="00007A05" w:rsidP="000B0B93">
      <w:pPr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b/>
          <w:bCs/>
          <w:color w:val="000000"/>
          <w:lang w:val="sr-Latn-ME"/>
        </w:rPr>
        <w:tab/>
      </w:r>
    </w:p>
    <w:p w14:paraId="2A778DFB" w14:textId="77777777" w:rsidR="00007A05" w:rsidRDefault="00007A05" w:rsidP="00007A05">
      <w:pPr>
        <w:numPr>
          <w:ilvl w:val="0"/>
          <w:numId w:val="2"/>
        </w:numPr>
        <w:spacing w:line="256" w:lineRule="auto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478E9F17" w14:textId="77777777" w:rsidR="00007A05" w:rsidRDefault="00007A05" w:rsidP="00007A05">
      <w:pPr>
        <w:numPr>
          <w:ilvl w:val="0"/>
          <w:numId w:val="2"/>
        </w:numPr>
        <w:spacing w:line="256" w:lineRule="auto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457A0514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7521B44B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290E8DE5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2E664C5B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258C0172" w14:textId="77777777" w:rsidR="00007A05" w:rsidRDefault="00007A05" w:rsidP="00007A0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072049B6" w14:textId="77777777" w:rsidR="00007A05" w:rsidRDefault="00007A05" w:rsidP="00007A0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7CB86FAE" w14:textId="77777777" w:rsidR="00007A05" w:rsidRDefault="00007A05" w:rsidP="00007A0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4AA158A0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2AD1DA0D" w14:textId="77777777" w:rsidR="00007A05" w:rsidRDefault="00007A05" w:rsidP="00007A0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4FA6FC17" w14:textId="77777777" w:rsidR="00007A05" w:rsidRDefault="00007A05" w:rsidP="00007A0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5421D040" w14:textId="77777777" w:rsidR="00007A05" w:rsidRDefault="00007A05" w:rsidP="00007A0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303F158C" w14:textId="77777777" w:rsidR="00007A05" w:rsidRDefault="00007A05" w:rsidP="00007A0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7F2A5DB8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175A4F16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7E98C08D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451FDEF4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72B908AF" w14:textId="77777777" w:rsidR="00007A05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707747F7" w14:textId="7107CBAC" w:rsidR="00007A05" w:rsidRPr="000B0B93" w:rsidRDefault="00007A05" w:rsidP="00007A05">
      <w:pPr>
        <w:numPr>
          <w:ilvl w:val="1"/>
          <w:numId w:val="2"/>
        </w:numPr>
        <w:spacing w:line="256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2B10D0A8" w14:textId="77777777" w:rsidR="00007A05" w:rsidRDefault="00007A05" w:rsidP="00007A05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14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4"/>
      <w:r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>
        <w:rPr>
          <w:color w:val="000000"/>
          <w:vertAlign w:val="superscript"/>
        </w:rPr>
        <w:footnoteReference w:id="3"/>
      </w:r>
      <w:bookmarkEnd w:id="1"/>
    </w:p>
    <w:p w14:paraId="3F2195AC" w14:textId="77777777" w:rsidR="00007A05" w:rsidRDefault="00007A05" w:rsidP="00007A05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677BCC2" w14:textId="77777777" w:rsidR="00007A05" w:rsidRDefault="00007A05" w:rsidP="00007A05">
      <w:pPr>
        <w:numPr>
          <w:ilvl w:val="0"/>
          <w:numId w:val="5"/>
        </w:numPr>
        <w:spacing w:line="25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68BB62B6" w14:textId="0119B644" w:rsidR="00007A05" w:rsidRPr="000B0B93" w:rsidRDefault="00007A05" w:rsidP="00007A05">
      <w:pPr>
        <w:numPr>
          <w:ilvl w:val="0"/>
          <w:numId w:val="5"/>
        </w:numPr>
        <w:spacing w:line="25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77C6BDD9" w14:textId="77777777" w:rsidR="00007A05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5"/>
      <w:r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>
        <w:rPr>
          <w:vertAlign w:val="superscript"/>
        </w:rPr>
        <w:footnoteReference w:id="4"/>
      </w:r>
      <w:bookmarkEnd w:id="2"/>
    </w:p>
    <w:p w14:paraId="1E6E36F4" w14:textId="77777777" w:rsidR="00007A05" w:rsidRDefault="00007A05" w:rsidP="00007A0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982EA34" w14:textId="1C78600F" w:rsidR="007A5B5F" w:rsidRPr="007A5B5F" w:rsidRDefault="007A5B5F" w:rsidP="007A5B5F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7A5B5F">
        <w:rPr>
          <w:rFonts w:ascii="Arial" w:hAnsi="Arial" w:cs="Arial"/>
          <w:sz w:val="22"/>
          <w:szCs w:val="22"/>
          <w:lang w:val="sr-Latn-ME"/>
        </w:rPr>
        <w:t>Napomena: U Tehničkoj specifikaciji su date zbirne količine opreme i radova za sve objekte u kojima će se vršiti nabavka i implementacija sistema tehničke zaštite. U prilogu tenderske dokumentacije je data tabela sa specifikacijom opreme i radova po objektima, odnosno po lokacijama izvršenja ugovora, kako bi ponuđači imali kompletan uvid u predmetnu nabavku Navedena tabela ne predstavlja tehničku specifikaciju predmetne javne nabavke</w:t>
      </w:r>
      <w:r w:rsidR="00A31E3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31E3C" w:rsidRPr="00A31E3C">
        <w:rPr>
          <w:rFonts w:ascii="Arial" w:hAnsi="Arial" w:cs="Arial"/>
          <w:sz w:val="22"/>
          <w:szCs w:val="22"/>
          <w:lang w:val="sr-Latn-ME"/>
        </w:rPr>
        <w:t>i ne treba da bude dio ponude.</w:t>
      </w:r>
    </w:p>
    <w:p w14:paraId="31B82E3F" w14:textId="77777777" w:rsidR="007A5B5F" w:rsidRDefault="007A5B5F" w:rsidP="00007A05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53EF1B5" w14:textId="77777777" w:rsidR="00007A05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6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lastRenderedPageBreak/>
        <w:t>Procijenjena vrijednost predmenta nabavke: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44BC45B0" w14:textId="47357353" w:rsidR="00007A05" w:rsidRDefault="007A5B5F" w:rsidP="00007A05">
      <w:pPr>
        <w:spacing w:after="160" w:line="25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="00007A05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="00007A05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21AF998A" w14:textId="186BB961" w:rsidR="00007A05" w:rsidRPr="007A5B5F" w:rsidRDefault="007A5B5F" w:rsidP="007A5B5F">
      <w:pPr>
        <w:spacing w:after="160" w:line="256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kao cjeline je </w:t>
      </w:r>
      <w:r w:rsidRPr="007A5B5F">
        <w:rPr>
          <w:rFonts w:ascii="Arial" w:eastAsia="Calibri" w:hAnsi="Arial" w:cs="Arial"/>
          <w:color w:val="000000"/>
          <w:sz w:val="22"/>
          <w:szCs w:val="22"/>
          <w:lang w:val="sr-Latn-ME"/>
        </w:rPr>
        <w:t>1.361.100,00</w:t>
      </w:r>
      <w:r w:rsidR="00007A05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€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.</w:t>
      </w:r>
    </w:p>
    <w:p w14:paraId="68A20FDB" w14:textId="77777777" w:rsidR="00007A05" w:rsidRDefault="00007A05" w:rsidP="00007A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14:paraId="32BA609A" w14:textId="77777777" w:rsidR="007A5B5F" w:rsidRDefault="007A5B5F" w:rsidP="00007A05">
      <w:pPr>
        <w:jc w:val="both"/>
        <w:rPr>
          <w:rFonts w:ascii="Arial" w:hAnsi="Arial" w:cs="Arial"/>
          <w:color w:val="000000"/>
          <w:lang w:val="sr-Latn-ME"/>
        </w:rPr>
      </w:pPr>
    </w:p>
    <w:p w14:paraId="4D7B7B4E" w14:textId="77777777" w:rsidR="007A5B5F" w:rsidRPr="007A5B5F" w:rsidRDefault="007A5B5F" w:rsidP="007A5B5F">
      <w:p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7A5B5F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je definisan kao cjelina jer predstavlja poslovno-tehnološki komplementarnu cjelinu i ne moze se dijeliti po partijama.</w:t>
      </w:r>
    </w:p>
    <w:p w14:paraId="4525BE83" w14:textId="2A885674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40A80FA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color w:val="000000"/>
          <w:sz w:val="22"/>
          <w:szCs w:val="22"/>
          <w:lang w:val="sr-Latn-ME"/>
        </w:rPr>
        <w:t>ZAKLJUČIVANJE OKVIRNOG SPORAZUMA</w:t>
      </w:r>
      <w:r w:rsidRPr="000B0B93">
        <w:rPr>
          <w:rFonts w:ascii="Arial" w:hAnsi="Arial" w:cs="Arial"/>
          <w:b/>
          <w:color w:val="000000"/>
          <w:sz w:val="22"/>
          <w:szCs w:val="22"/>
          <w:vertAlign w:val="superscript"/>
          <w:lang w:val="sr-Latn-ME"/>
        </w:rPr>
        <w:footnoteReference w:id="7"/>
      </w:r>
    </w:p>
    <w:p w14:paraId="3202EB69" w14:textId="77777777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50DE6E6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t>Zaključiće se okvirni sporazum:</w:t>
      </w:r>
    </w:p>
    <w:p w14:paraId="715FD187" w14:textId="77777777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3F62F4B" w14:textId="6F9203B2" w:rsidR="00007A05" w:rsidRPr="000B0B93" w:rsidRDefault="007A5B5F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ne</w:t>
      </w:r>
    </w:p>
    <w:p w14:paraId="7C576BB5" w14:textId="77777777" w:rsidR="007A5B5F" w:rsidRPr="000B0B93" w:rsidRDefault="007A5B5F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53CEA3C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color w:val="000000"/>
          <w:sz w:val="22"/>
          <w:szCs w:val="22"/>
          <w:lang w:val="sr-Latn-ME"/>
        </w:rPr>
        <w:t>PODACI O NARUČIOCIMA KOJI ZAKLJUČUJU ZAJEDNIČKU NABAVKU</w:t>
      </w:r>
    </w:p>
    <w:p w14:paraId="1CF2E1F5" w14:textId="77777777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B53AEB8" w14:textId="3736C2CF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t>Zajednička nabavka se sprovodi za</w:t>
      </w:r>
      <w:bookmarkStart w:id="3" w:name="_Hlk164597572"/>
      <w:r w:rsidR="007A5B5F" w:rsidRPr="000B0B93">
        <w:rPr>
          <w:rFonts w:ascii="Arial" w:hAnsi="Arial" w:cs="Arial"/>
          <w:color w:val="000000"/>
          <w:sz w:val="22"/>
          <w:szCs w:val="22"/>
          <w:lang w:val="sr-Latn-ME"/>
        </w:rPr>
        <w:t>:</w:t>
      </w: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7A5B5F" w:rsidRPr="000B0B93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Nije primjenljivo.</w:t>
      </w:r>
      <w:bookmarkEnd w:id="3"/>
    </w:p>
    <w:p w14:paraId="04E5A4AC" w14:textId="6E2FB4C4" w:rsidR="007A5B5F" w:rsidRPr="000B0B93" w:rsidRDefault="007A5B5F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4629A4B" w14:textId="77777777" w:rsidR="00007A05" w:rsidRPr="000B0B93" w:rsidRDefault="00007A05" w:rsidP="00007A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color w:val="000000"/>
          <w:sz w:val="22"/>
          <w:szCs w:val="22"/>
          <w:lang w:val="sr-Latn-ME"/>
        </w:rPr>
        <w:t>PODACI O NARUČIOCIMA KOJI SU UKLJUČENI U CENTRALIZOVANU NABAVKU</w:t>
      </w:r>
    </w:p>
    <w:p w14:paraId="25C5F3BC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40D0A4F" w14:textId="0FB2075A" w:rsidR="00007A05" w:rsidRPr="000B0B93" w:rsidRDefault="00007A05" w:rsidP="00007A0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Centralizovana nabavka se sprovodi za</w:t>
      </w:r>
      <w:r w:rsidR="007A5B5F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: </w:t>
      </w:r>
      <w:r w:rsidR="007A5B5F" w:rsidRPr="000B0B93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Nije primjenljivo.</w:t>
      </w:r>
    </w:p>
    <w:p w14:paraId="538F22CD" w14:textId="77777777" w:rsidR="007A5B5F" w:rsidRPr="000B0B93" w:rsidRDefault="007A5B5F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3514F3E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sz w:val="22"/>
          <w:szCs w:val="22"/>
          <w:lang w:val="sr-Latn-ME"/>
        </w:rPr>
        <w:t>NAČIN SPROVOĐENJA ELEKTRONSKE AUKCIJE</w:t>
      </w:r>
    </w:p>
    <w:p w14:paraId="0159CF80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D7A0A09" w14:textId="22E22F04" w:rsidR="00007A05" w:rsidRPr="000B0B93" w:rsidRDefault="00007A05" w:rsidP="00007A05">
      <w:pPr>
        <w:jc w:val="both"/>
        <w:rPr>
          <w:rFonts w:ascii="Arial" w:hAnsi="Arial" w:cs="Arial"/>
          <w:color w:val="222A35"/>
          <w:sz w:val="22"/>
          <w:szCs w:val="22"/>
          <w:lang w:val="sr-Latn-ME"/>
        </w:rPr>
      </w:pPr>
      <w:r w:rsidRPr="000B0B93">
        <w:rPr>
          <w:rFonts w:ascii="Arial" w:hAnsi="Arial" w:cs="Arial"/>
          <w:color w:val="222A35"/>
          <w:sz w:val="22"/>
          <w:szCs w:val="22"/>
          <w:lang w:val="sr-Latn-ME"/>
        </w:rPr>
        <w:t>Elektronska aukcija će se sprovesti nakon ocjene ponuda, kao elektronski proces koji se ponavlja, radi postizanja nove</w:t>
      </w:r>
      <w:r w:rsidR="007A5B5F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: </w:t>
      </w:r>
      <w:r w:rsidR="007A5B5F" w:rsidRPr="000B0B93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Nije primjenljivo.</w:t>
      </w:r>
    </w:p>
    <w:p w14:paraId="7DDFDF5F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0893EAB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sz w:val="22"/>
          <w:szCs w:val="22"/>
          <w:lang w:val="sr-Latn-ME"/>
        </w:rPr>
        <w:t>ELEKTRONSKI KATALOG</w:t>
      </w:r>
      <w:r w:rsidRPr="000B0B93">
        <w:rPr>
          <w:rFonts w:ascii="Arial" w:hAnsi="Arial" w:cs="Arial"/>
          <w:b/>
          <w:color w:val="FF0000"/>
          <w:sz w:val="22"/>
          <w:szCs w:val="22"/>
          <w:lang w:val="sr-Latn-ME"/>
        </w:rPr>
        <w:t xml:space="preserve"> </w:t>
      </w:r>
    </w:p>
    <w:p w14:paraId="7C35E309" w14:textId="77777777" w:rsidR="00007A05" w:rsidRPr="000B0B93" w:rsidRDefault="00007A05" w:rsidP="00007A05">
      <w:pPr>
        <w:jc w:val="both"/>
        <w:rPr>
          <w:rFonts w:ascii="Arial" w:hAnsi="Arial" w:cs="Arial"/>
          <w:color w:val="FF0000"/>
          <w:sz w:val="22"/>
          <w:szCs w:val="22"/>
          <w:lang w:val="sr-Latn-ME"/>
        </w:rPr>
      </w:pPr>
    </w:p>
    <w:p w14:paraId="3A53C3F6" w14:textId="1A9F8541" w:rsidR="00007A05" w:rsidRPr="000B0B93" w:rsidRDefault="00007A05" w:rsidP="00007A05">
      <w:pPr>
        <w:jc w:val="both"/>
        <w:rPr>
          <w:rFonts w:ascii="Arial" w:hAnsi="Arial" w:cs="Arial"/>
          <w:color w:val="222A35"/>
          <w:sz w:val="22"/>
          <w:szCs w:val="22"/>
          <w:lang w:val="sr-Latn-ME"/>
        </w:rPr>
      </w:pPr>
      <w:r w:rsidRPr="000B0B93">
        <w:rPr>
          <w:rFonts w:ascii="Arial" w:hAnsi="Arial" w:cs="Arial"/>
          <w:color w:val="222A35"/>
          <w:sz w:val="22"/>
          <w:szCs w:val="22"/>
          <w:lang w:val="sr-Latn-ME"/>
        </w:rPr>
        <w:t>Elektronski katalog sastavlja ponuđač u skladu s tehničkim specifikacijama i u formi</w:t>
      </w:r>
      <w:r w:rsidR="007A5B5F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: </w:t>
      </w:r>
      <w:r w:rsidR="007A5B5F" w:rsidRPr="000B0B93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>Nije primjenljivo.</w:t>
      </w:r>
    </w:p>
    <w:p w14:paraId="3A91793A" w14:textId="77777777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9E47D22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sz w:val="22"/>
          <w:szCs w:val="22"/>
          <w:lang w:val="sr-Latn-ME"/>
        </w:rPr>
        <w:t>PONUDA SA VARIJANTAMA</w:t>
      </w:r>
    </w:p>
    <w:p w14:paraId="4DA1841A" w14:textId="77777777" w:rsidR="00007A05" w:rsidRPr="000B0B93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4855B1EF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Mogućnost podnošenja ponude sa varijantama</w:t>
      </w:r>
    </w:p>
    <w:p w14:paraId="1A980B86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5FEC428" w14:textId="6E56DF6F" w:rsidR="00007A05" w:rsidRDefault="007A5B5F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bookmarkStart w:id="4" w:name="_Hlk164598025"/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bookmarkEnd w:id="4"/>
      <w:r w:rsidR="00007A05" w:rsidRPr="000B0B93">
        <w:rPr>
          <w:rFonts w:ascii="Arial" w:hAnsi="Arial" w:cs="Arial"/>
          <w:sz w:val="22"/>
          <w:szCs w:val="22"/>
          <w:lang w:val="sr-Latn-ME"/>
        </w:rPr>
        <w:t>Varijante ponude nijesu dozvoljene i neće biti razmatrane.</w:t>
      </w:r>
    </w:p>
    <w:p w14:paraId="75E93944" w14:textId="77777777" w:rsidR="00A370E5" w:rsidRPr="000B0B93" w:rsidRDefault="00A370E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1C9D746" w14:textId="77777777" w:rsidR="00007A05" w:rsidRPr="000B0B93" w:rsidRDefault="00007A05" w:rsidP="00007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sz w:val="22"/>
          <w:szCs w:val="22"/>
          <w:lang w:val="sr-Latn-ME"/>
        </w:rPr>
      </w:pPr>
      <w:r w:rsidRPr="000B0B93">
        <w:rPr>
          <w:rFonts w:ascii="Arial" w:hAnsi="Arial" w:cs="Arial"/>
          <w:b/>
          <w:sz w:val="22"/>
          <w:szCs w:val="22"/>
          <w:lang w:val="sr-Latn-ME"/>
        </w:rPr>
        <w:t>REZERVISANA NABAVKA</w:t>
      </w:r>
    </w:p>
    <w:p w14:paraId="07545799" w14:textId="77777777" w:rsidR="00007A05" w:rsidRPr="000B0B93" w:rsidRDefault="00007A05" w:rsidP="00007A05">
      <w:pPr>
        <w:jc w:val="both"/>
        <w:rPr>
          <w:rFonts w:ascii="Arial" w:hAnsi="Arial" w:cs="Arial"/>
          <w:b/>
          <w:bCs/>
          <w:color w:val="FF0000"/>
          <w:sz w:val="22"/>
          <w:szCs w:val="22"/>
          <w:lang w:val="sr-Latn-ME"/>
        </w:rPr>
      </w:pPr>
    </w:p>
    <w:p w14:paraId="48D8D6C3" w14:textId="0FCC1197" w:rsidR="00007A05" w:rsidRPr="000B0B93" w:rsidRDefault="007A5B5F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Ne</w:t>
      </w:r>
    </w:p>
    <w:p w14:paraId="30E80A00" w14:textId="7788F032" w:rsidR="00007A05" w:rsidRPr="000B0B93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284"/>
        <w:jc w:val="both"/>
        <w:outlineLvl w:val="0"/>
        <w:rPr>
          <w:rFonts w:ascii="Arial" w:hAnsi="Arial"/>
          <w:b/>
          <w:sz w:val="22"/>
          <w:szCs w:val="22"/>
          <w:lang w:val="sr-Latn-ME"/>
        </w:rPr>
      </w:pPr>
      <w:bookmarkStart w:id="5" w:name="_Toc62730556"/>
      <w:r w:rsidRPr="000B0B93">
        <w:rPr>
          <w:rFonts w:ascii="Arial" w:hAnsi="Arial"/>
          <w:b/>
          <w:sz w:val="22"/>
          <w:szCs w:val="22"/>
          <w:lang w:val="sr-Latn-ME"/>
        </w:rPr>
        <w:lastRenderedPageBreak/>
        <w:t>NAČIN UTVRĐIVANJA EKVIVALENTNOSTI</w:t>
      </w:r>
      <w:bookmarkEnd w:id="5"/>
    </w:p>
    <w:p w14:paraId="7E5E49CA" w14:textId="1996707A" w:rsidR="00007A05" w:rsidRPr="000B0B93" w:rsidRDefault="00007A05" w:rsidP="00007A05">
      <w:pPr>
        <w:jc w:val="both"/>
        <w:rPr>
          <w:rFonts w:ascii="Arial" w:hAnsi="Arial" w:cs="Arial"/>
          <w:color w:val="222A35"/>
          <w:sz w:val="22"/>
          <w:szCs w:val="22"/>
          <w:lang w:val="sr-Latn-ME"/>
        </w:rPr>
      </w:pPr>
      <w:r w:rsidRPr="000B0B93">
        <w:rPr>
          <w:rFonts w:ascii="Arial" w:hAnsi="Arial" w:cs="Arial"/>
          <w:bCs/>
          <w:color w:val="000000"/>
          <w:sz w:val="22"/>
          <w:szCs w:val="22"/>
          <w:lang w:val="sr-Latn-ME"/>
        </w:rPr>
        <w:t>Način utvrđivanja ekvivalentnosti</w:t>
      </w:r>
      <w:r w:rsidR="007A5B5F" w:rsidRPr="000B0B93">
        <w:rPr>
          <w:rFonts w:ascii="Arial" w:hAnsi="Arial" w:cs="Arial"/>
          <w:bCs/>
          <w:color w:val="000000"/>
          <w:sz w:val="22"/>
          <w:szCs w:val="22"/>
          <w:lang w:val="sr-Latn-ME"/>
        </w:rPr>
        <w:t>:</w:t>
      </w:r>
      <w:r w:rsidR="007A5B5F" w:rsidRPr="000B0B93">
        <w:rPr>
          <w:rFonts w:ascii="Arial" w:hAnsi="Arial" w:cs="Arial"/>
          <w:i/>
          <w:iCs/>
          <w:color w:val="000000"/>
          <w:sz w:val="22"/>
          <w:szCs w:val="22"/>
          <w:lang w:val="sr-Latn-ME"/>
        </w:rPr>
        <w:t xml:space="preserve"> Nije primjenljivo.</w:t>
      </w:r>
    </w:p>
    <w:p w14:paraId="2F4DE21A" w14:textId="5954E84F" w:rsidR="00007A05" w:rsidRPr="000B0B93" w:rsidRDefault="00007A05" w:rsidP="007A5B5F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284"/>
        <w:outlineLvl w:val="0"/>
        <w:rPr>
          <w:rFonts w:ascii="Arial" w:hAnsi="Arial"/>
          <w:b/>
          <w:sz w:val="22"/>
          <w:szCs w:val="22"/>
          <w:lang w:val="sr-Latn-ME"/>
        </w:rPr>
      </w:pPr>
      <w:bookmarkStart w:id="6" w:name="_Toc62730557"/>
      <w:r w:rsidRPr="000B0B93">
        <w:rPr>
          <w:rFonts w:ascii="Arial" w:hAnsi="Arial"/>
          <w:b/>
          <w:sz w:val="22"/>
          <w:szCs w:val="22"/>
          <w:lang w:val="sr-Latn-ME"/>
        </w:rPr>
        <w:t>OSNOVI ZA OBAVEZNO ISKLJUČENJE IZ POSTUPKA JAVNE NABAVKE</w:t>
      </w:r>
      <w:bookmarkEnd w:id="6"/>
    </w:p>
    <w:p w14:paraId="59E7D11E" w14:textId="77777777" w:rsidR="00007A05" w:rsidRPr="000B0B93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 xml:space="preserve">Privredni subjekat će se isključiti iz postupka javne nabavke, ako: </w:t>
      </w:r>
    </w:p>
    <w:p w14:paraId="2D4E5C4B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bookmarkStart w:id="7" w:name="_Toc62730558"/>
      <w:r w:rsidRPr="000B0B93">
        <w:rPr>
          <w:rFonts w:ascii="Arial" w:hAnsi="Arial" w:cs="Arial"/>
          <w:sz w:val="22"/>
          <w:szCs w:val="22"/>
          <w:lang w:val="sr-Latn-ME"/>
        </w:rPr>
        <w:t>je vršio neprimjeren uticaj u smislu člana 38 stav 2 tačka 1 ovog zakona;</w:t>
      </w:r>
    </w:p>
    <w:p w14:paraId="32376E68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postoji sukob interesa iz člana 41 stav 1 tačka 2 ili člana 42 ovog zakona;</w:t>
      </w:r>
    </w:p>
    <w:p w14:paraId="1393585C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ne ispunjava uslov iz člana 99 ovog zakona;</w:t>
      </w:r>
    </w:p>
    <w:p w14:paraId="16B18D54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ne ispunjava uslov iz čl. 102, 104 ili 106 ovog zakona predviđen tenderskom dokumentacijom;</w:t>
      </w:r>
    </w:p>
    <w:p w14:paraId="34878311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4DBBFBD1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FB85632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1DCF8AC4" w14:textId="77777777" w:rsidR="00007A05" w:rsidRPr="000B0B93" w:rsidRDefault="00007A05" w:rsidP="00007A05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postoji drugi razlog propisan ovim zakonom.</w:t>
      </w:r>
    </w:p>
    <w:p w14:paraId="520D050F" w14:textId="701B3D57" w:rsidR="00007A05" w:rsidRPr="000B0B93" w:rsidRDefault="00007A05" w:rsidP="007A5B5F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/>
          <w:b/>
          <w:sz w:val="22"/>
          <w:szCs w:val="22"/>
          <w:lang w:val="sr-Latn-ME"/>
        </w:rPr>
      </w:pPr>
      <w:r w:rsidRPr="000B0B93">
        <w:rPr>
          <w:rFonts w:ascii="Arial" w:hAnsi="Arial"/>
          <w:b/>
          <w:sz w:val="22"/>
          <w:szCs w:val="22"/>
          <w:lang w:val="sr-Latn-ME"/>
        </w:rPr>
        <w:t>SREDSTVA FINANSIJSKOG OBEZBJEĐENJA UGOVORA O JAVNOJ NABAVCI</w:t>
      </w:r>
      <w:bookmarkEnd w:id="7"/>
    </w:p>
    <w:p w14:paraId="5887F334" w14:textId="77777777" w:rsidR="00007A05" w:rsidRPr="000B0B93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6F544535" w14:textId="7F54730D" w:rsidR="00243036" w:rsidRPr="00243036" w:rsidRDefault="00243036" w:rsidP="00243036">
      <w:pPr>
        <w:jc w:val="both"/>
        <w:rPr>
          <w:rFonts w:ascii="Arial" w:hAnsi="Arial" w:cs="Arial"/>
          <w:sz w:val="22"/>
          <w:szCs w:val="22"/>
          <w:lang w:val="sr-Latn-ME"/>
        </w:rPr>
      </w:pPr>
      <w:bookmarkStart w:id="8" w:name="_Toc62730559"/>
      <w:r w:rsidRPr="0024303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243036">
        <w:rPr>
          <w:rFonts w:ascii="Arial" w:hAnsi="Arial" w:cs="Arial"/>
          <w:sz w:val="22"/>
          <w:szCs w:val="22"/>
          <w:lang w:val="sr-Latn-ME"/>
        </w:rPr>
        <w:t xml:space="preserve"> avansnu garanciju, za avansno plaćanje u iznosu ugovorenog avansa sa uračunatim PDV-om, sa rokom važenja 30 dana dužim od roka izvršenja Ugovora;</w:t>
      </w:r>
    </w:p>
    <w:p w14:paraId="0EEFFBDE" w14:textId="47A58080" w:rsidR="00243036" w:rsidRPr="00243036" w:rsidRDefault="00243036" w:rsidP="00243036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24303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243036">
        <w:rPr>
          <w:rFonts w:ascii="Arial" w:hAnsi="Arial" w:cs="Arial"/>
          <w:sz w:val="22"/>
          <w:szCs w:val="22"/>
          <w:lang w:val="sr-Latn-ME"/>
        </w:rPr>
        <w:t xml:space="preserve"> bezuslovnu i na prvi poziv naplativu garanciju za dobro izvršenje Ugovora za slučaj povrede ugovorenih obaveza u iznosu od 10% od vrijednosti Ugovora sa uračunatim PDV-om, sa rokom važenja 30 dana dužim od roka izvršenja Ugovora;</w:t>
      </w:r>
    </w:p>
    <w:p w14:paraId="279E1FA2" w14:textId="24EE7F58" w:rsidR="00243036" w:rsidRPr="00243036" w:rsidRDefault="00243036" w:rsidP="00243036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24303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243036">
        <w:rPr>
          <w:rFonts w:ascii="Arial" w:hAnsi="Arial" w:cs="Arial"/>
          <w:sz w:val="22"/>
          <w:szCs w:val="22"/>
          <w:lang w:val="sr-Latn-ME"/>
        </w:rPr>
        <w:t xml:space="preserve"> polisu osiguranja od profesionalne odgovornosti, na iznos 200.000,00 eura, sa rokom važenja od dana izdavanja polise do isteka ugovorenog roka izvršenja Ugovora;</w:t>
      </w:r>
    </w:p>
    <w:p w14:paraId="7830553A" w14:textId="5AC33AB8" w:rsidR="00243036" w:rsidRPr="00243036" w:rsidRDefault="00243036" w:rsidP="00243036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24303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243036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243036">
        <w:rPr>
          <w:rFonts w:ascii="Arial" w:hAnsi="Arial" w:cs="Arial"/>
          <w:sz w:val="22"/>
          <w:szCs w:val="22"/>
          <w:lang w:val="sr-Latn-ME"/>
        </w:rPr>
        <w:t xml:space="preserve">Dobavljač je dužan da u trenutku potpisivanja </w:t>
      </w:r>
      <w:r w:rsidRPr="00243036">
        <w:rPr>
          <w:rFonts w:ascii="Arial" w:hAnsi="Arial" w:cs="Arial"/>
          <w:bCs/>
          <w:sz w:val="22"/>
          <w:szCs w:val="22"/>
          <w:lang w:val="sr-Latn-ME"/>
        </w:rPr>
        <w:t xml:space="preserve">Zapisnika o primopredaji </w:t>
      </w:r>
      <w:bookmarkStart w:id="9" w:name="_Hlk164329486"/>
      <w:r w:rsidRPr="00243036">
        <w:rPr>
          <w:rFonts w:ascii="Arial" w:hAnsi="Arial" w:cs="Arial"/>
          <w:bCs/>
          <w:noProof/>
          <w:sz w:val="22"/>
          <w:szCs w:val="22"/>
          <w:lang w:val="sr-Latn-RS"/>
        </w:rPr>
        <w:t>implementiranog sistema tehničke zaštite</w:t>
      </w:r>
      <w:bookmarkEnd w:id="9"/>
      <w:r w:rsidRPr="00243036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243036">
        <w:rPr>
          <w:rFonts w:ascii="Arial" w:hAnsi="Arial" w:cs="Arial"/>
          <w:noProof/>
          <w:sz w:val="22"/>
          <w:szCs w:val="22"/>
          <w:lang w:val="sr-Latn-RS"/>
        </w:rPr>
        <w:t>za sve</w:t>
      </w:r>
      <w:r w:rsidRPr="00243036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243036">
        <w:rPr>
          <w:rFonts w:ascii="Arial" w:hAnsi="Arial" w:cs="Arial"/>
          <w:noProof/>
          <w:sz w:val="22"/>
          <w:szCs w:val="22"/>
          <w:lang w:val="sr-Latn-RS"/>
        </w:rPr>
        <w:t xml:space="preserve">obavezno štićene objekte CGES-a </w:t>
      </w:r>
      <w:r w:rsidRPr="00243036">
        <w:rPr>
          <w:rFonts w:ascii="Arial" w:hAnsi="Arial" w:cs="Arial"/>
          <w:sz w:val="22"/>
          <w:szCs w:val="22"/>
          <w:lang w:val="sr-Latn-ME"/>
        </w:rPr>
        <w:t>preda Naručiocu bezuslovnu i plativu na prvi poziv garanciju za otklanjanje nedostataka u garantnom roku na iznos od 10% vrijednosti Ugovora sa uračunatim PDV-om, kojom garantuje potpuno izvršenje ugovornih obaveza za vrijeme trajanja ugovorenog garantnog roka sa rokom važnosti 30 (trideset) dana dužim od ugovorenog garantnog roka.</w:t>
      </w:r>
    </w:p>
    <w:p w14:paraId="714287EE" w14:textId="77777777" w:rsidR="00243036" w:rsidRPr="00243036" w:rsidRDefault="00243036" w:rsidP="00243036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243036">
        <w:rPr>
          <w:rFonts w:ascii="Arial" w:hAnsi="Arial" w:cs="Arial"/>
          <w:sz w:val="22"/>
          <w:szCs w:val="22"/>
          <w:lang w:val="sr-Latn-ME"/>
        </w:rPr>
        <w:t>U slučaju nedostavljanja Garancije za otklanjanje nedostataka u garantnom roku iz prethodnog stava, Naručilac će aktivirati Garanciju za dobro izvršenje ugovora i jednostrano raskinuti Ugovor.</w:t>
      </w:r>
    </w:p>
    <w:p w14:paraId="061C5EE9" w14:textId="77777777" w:rsidR="00007A05" w:rsidRPr="000B0B93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hanging="630"/>
        <w:outlineLvl w:val="0"/>
        <w:rPr>
          <w:rFonts w:ascii="Arial" w:hAnsi="Arial"/>
          <w:b/>
          <w:color w:val="000000"/>
          <w:sz w:val="22"/>
          <w:szCs w:val="22"/>
          <w:lang w:val="sr-Latn-ME"/>
        </w:rPr>
      </w:pPr>
      <w:r w:rsidRPr="000B0B93">
        <w:rPr>
          <w:rFonts w:ascii="Arial" w:hAnsi="Arial"/>
          <w:b/>
          <w:sz w:val="22"/>
          <w:szCs w:val="22"/>
          <w:lang w:val="sr-Latn-ME"/>
        </w:rPr>
        <w:t>METODOLOGIJA VREDNOVANJA PONUDA</w:t>
      </w:r>
      <w:bookmarkEnd w:id="8"/>
    </w:p>
    <w:p w14:paraId="0971B789" w14:textId="77777777" w:rsidR="00007A05" w:rsidRPr="000B0B93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6A9AC0A8" w14:textId="77777777" w:rsidR="00007A05" w:rsidRPr="000B0B93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Naručilac će u postupku javne nabavki izabrati ekonomski najpovoljniju ponudu, primjenom pristupa isplativosti, po osnovu kriterijuma</w:t>
      </w:r>
      <w:r w:rsidRPr="000B0B93">
        <w:rPr>
          <w:rFonts w:ascii="Arial" w:hAnsi="Arial" w:cs="Arial"/>
          <w:sz w:val="22"/>
          <w:szCs w:val="22"/>
          <w:vertAlign w:val="superscript"/>
          <w:lang w:val="sr-Latn-ME"/>
        </w:rPr>
        <w:footnoteReference w:id="8"/>
      </w:r>
      <w:r w:rsidRPr="000B0B93">
        <w:rPr>
          <w:rFonts w:ascii="Arial" w:hAnsi="Arial" w:cs="Arial"/>
          <w:sz w:val="22"/>
          <w:szCs w:val="22"/>
          <w:lang w:val="sr-Latn-ME"/>
        </w:rPr>
        <w:t xml:space="preserve">: </w:t>
      </w:r>
    </w:p>
    <w:p w14:paraId="5FDF2367" w14:textId="77777777" w:rsidR="00E576F1" w:rsidRPr="000B0B93" w:rsidRDefault="00E576F1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616A624" w14:textId="5F845956" w:rsidR="00007A05" w:rsidRPr="000B0B93" w:rsidRDefault="00E576F1" w:rsidP="00007A05">
      <w:pPr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007A05" w:rsidRPr="000B0B93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007A05" w:rsidRPr="000B0B93">
        <w:rPr>
          <w:rFonts w:ascii="Arial" w:hAnsi="Arial" w:cs="Arial"/>
          <w:sz w:val="22"/>
          <w:szCs w:val="22"/>
          <w:lang w:val="sr-Latn-ME"/>
        </w:rPr>
        <w:t xml:space="preserve">odnos cijene i kvaliteta </w:t>
      </w:r>
    </w:p>
    <w:p w14:paraId="5837EAD7" w14:textId="77777777" w:rsidR="00E576F1" w:rsidRPr="00E576F1" w:rsidRDefault="00E576F1" w:rsidP="00E576F1">
      <w:pPr>
        <w:rPr>
          <w:rFonts w:ascii="Arial" w:hAnsi="Arial" w:cs="Arial"/>
          <w:sz w:val="22"/>
          <w:szCs w:val="22"/>
          <w:lang w:val="sr-Latn-ME"/>
        </w:rPr>
      </w:pPr>
    </w:p>
    <w:p w14:paraId="74391717" w14:textId="77777777" w:rsidR="00E576F1" w:rsidRPr="00E576F1" w:rsidRDefault="00E576F1" w:rsidP="00E576F1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 xml:space="preserve">Ponude po podkriterijumu cijena vrednovaće se na sljedeći način: </w:t>
      </w:r>
    </w:p>
    <w:p w14:paraId="6D7A3F49" w14:textId="5A05F743" w:rsidR="00E576F1" w:rsidRPr="00E576F1" w:rsidRDefault="00E576F1" w:rsidP="00E576F1">
      <w:pPr>
        <w:ind w:left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 xml:space="preserve">Maksimalan broj bodova po ovom podkriterijumu je </w:t>
      </w: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>90.</w:t>
      </w:r>
    </w:p>
    <w:p w14:paraId="05DAD7D9" w14:textId="77777777" w:rsidR="00E576F1" w:rsidRPr="00E576F1" w:rsidRDefault="00E576F1" w:rsidP="00E576F1">
      <w:pPr>
        <w:ind w:left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Broj bodova po podkriterijumu cijena određuje se po formuli:</w:t>
      </w:r>
    </w:p>
    <w:p w14:paraId="37974AEB" w14:textId="77777777" w:rsidR="00E576F1" w:rsidRPr="00E576F1" w:rsidRDefault="00E576F1" w:rsidP="00E576F1">
      <w:pPr>
        <w:ind w:left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</w:p>
    <w:p w14:paraId="4221DDDB" w14:textId="77777777" w:rsidR="00E576F1" w:rsidRPr="00E576F1" w:rsidRDefault="00E576F1" w:rsidP="00E576F1">
      <w:pPr>
        <w:ind w:left="720"/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>C= (C</w:t>
      </w: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vertAlign w:val="subscript"/>
          <w:lang w:val="sr-Latn-ME"/>
        </w:rPr>
        <w:t>min</w:t>
      </w: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>/C</w:t>
      </w: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vertAlign w:val="subscript"/>
          <w:lang w:val="sr-Latn-ME"/>
        </w:rPr>
        <w:t>p</w:t>
      </w: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>)x90</w:t>
      </w:r>
    </w:p>
    <w:p w14:paraId="2848F526" w14:textId="77777777" w:rsidR="00E576F1" w:rsidRPr="00E576F1" w:rsidRDefault="00E576F1" w:rsidP="00E576F1">
      <w:pPr>
        <w:ind w:left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gdje je:</w:t>
      </w:r>
    </w:p>
    <w:p w14:paraId="15956DFC" w14:textId="12345835" w:rsidR="00E576F1" w:rsidRPr="000B0B93" w:rsidRDefault="00E576F1" w:rsidP="00E576F1">
      <w:pPr>
        <w:ind w:firstLine="720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C – broj bodova za ponuđenu cijenu</w:t>
      </w:r>
      <w:r w:rsidRPr="000B0B93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;</w:t>
      </w:r>
    </w:p>
    <w:p w14:paraId="7865E1DD" w14:textId="1A032441" w:rsidR="00E576F1" w:rsidRPr="00E576F1" w:rsidRDefault="00E576F1" w:rsidP="00E576F1">
      <w:pPr>
        <w:ind w:firstLine="720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C</w:t>
      </w:r>
      <w:r w:rsidRPr="00E576F1">
        <w:rPr>
          <w:rFonts w:ascii="Arial" w:hAnsi="Arial" w:cs="Arial"/>
          <w:bCs/>
          <w:sz w:val="22"/>
          <w:szCs w:val="22"/>
          <w:shd w:val="clear" w:color="auto" w:fill="FFFFFF"/>
          <w:vertAlign w:val="subscript"/>
          <w:lang w:val="sr-Latn-ME"/>
        </w:rPr>
        <w:t>min</w:t>
      </w: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 xml:space="preserve"> – najniža ponuđena cijena (bez PDV-a)</w:t>
      </w:r>
      <w:r w:rsidRPr="000B0B93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;</w:t>
      </w:r>
    </w:p>
    <w:p w14:paraId="7796D39E" w14:textId="6410B21C" w:rsidR="00E576F1" w:rsidRPr="00E576F1" w:rsidRDefault="00E576F1" w:rsidP="00E576F1">
      <w:pPr>
        <w:ind w:firstLine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C</w:t>
      </w:r>
      <w:r w:rsidRPr="00E576F1">
        <w:rPr>
          <w:rFonts w:ascii="Arial" w:hAnsi="Arial" w:cs="Arial"/>
          <w:bCs/>
          <w:sz w:val="22"/>
          <w:szCs w:val="22"/>
          <w:shd w:val="clear" w:color="auto" w:fill="FFFFFF"/>
          <w:vertAlign w:val="subscript"/>
          <w:lang w:val="sr-Latn-ME"/>
        </w:rPr>
        <w:t>p</w:t>
      </w: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 xml:space="preserve"> –  ponuđena cijena (bez PDV-a)</w:t>
      </w:r>
      <w:r w:rsidRPr="000B0B93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;</w:t>
      </w:r>
    </w:p>
    <w:p w14:paraId="704149CF" w14:textId="77777777" w:rsidR="00E576F1" w:rsidRPr="00E576F1" w:rsidRDefault="00E576F1" w:rsidP="00E576F1">
      <w:pPr>
        <w:ind w:firstLine="720"/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 xml:space="preserve">90 – maksimalni broj bodova po ovom potkriterijumu.  </w:t>
      </w:r>
    </w:p>
    <w:p w14:paraId="2A7563CC" w14:textId="77777777" w:rsidR="00E576F1" w:rsidRPr="000B0B93" w:rsidRDefault="00E576F1" w:rsidP="00E576F1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</w:p>
    <w:p w14:paraId="4DE2FB7A" w14:textId="6F8DB569" w:rsidR="00E576F1" w:rsidRPr="00E576F1" w:rsidRDefault="00E576F1" w:rsidP="00E576F1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Cs/>
          <w:sz w:val="22"/>
          <w:szCs w:val="22"/>
          <w:shd w:val="clear" w:color="auto" w:fill="FFFFFF"/>
          <w:lang w:val="sr-Latn-ME"/>
        </w:rPr>
        <w:t>Ako je ponuđena cijena 0,00 EUR-a, prilikom vrednovanja te cijene po podkriterijumu cijena uzima se da je ponuđena cijena 0,01 EUR.</w:t>
      </w:r>
    </w:p>
    <w:p w14:paraId="17D65F2C" w14:textId="77777777" w:rsidR="00E576F1" w:rsidRPr="00E576F1" w:rsidRDefault="00E576F1" w:rsidP="00E576F1">
      <w:pPr>
        <w:spacing w:after="160" w:line="259" w:lineRule="auto"/>
        <w:jc w:val="both"/>
        <w:rPr>
          <w:rFonts w:ascii="Arial" w:hAnsi="Arial" w:cs="Arial"/>
          <w:noProof/>
          <w:sz w:val="22"/>
          <w:szCs w:val="22"/>
          <w:lang w:val="sr-Latn-ME"/>
        </w:rPr>
      </w:pPr>
    </w:p>
    <w:p w14:paraId="2F0BE49F" w14:textId="0C4EA4D9" w:rsidR="00E576F1" w:rsidRPr="00E576F1" w:rsidRDefault="00E576F1" w:rsidP="00E576F1">
      <w:pPr>
        <w:numPr>
          <w:ilvl w:val="0"/>
          <w:numId w:val="10"/>
        </w:numPr>
        <w:spacing w:after="16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</w:pPr>
      <w:r w:rsidRPr="00E576F1">
        <w:rPr>
          <w:rFonts w:ascii="Arial" w:hAnsi="Arial" w:cs="Arial"/>
          <w:b/>
          <w:bCs/>
          <w:sz w:val="22"/>
          <w:szCs w:val="22"/>
          <w:shd w:val="clear" w:color="auto" w:fill="FFFFFF"/>
          <w:lang w:val="sr-Latn-ME"/>
        </w:rPr>
        <w:t xml:space="preserve">Ponude po podkriterijumu kvalitet vrednovaće se na sljedeći način: </w:t>
      </w:r>
    </w:p>
    <w:p w14:paraId="3A11622C" w14:textId="35342B8A" w:rsidR="00E576F1" w:rsidRPr="00E576F1" w:rsidRDefault="00E576F1" w:rsidP="00E576F1">
      <w:pPr>
        <w:spacing w:after="160" w:line="259" w:lineRule="auto"/>
        <w:ind w:left="708"/>
        <w:contextualSpacing/>
        <w:jc w:val="both"/>
        <w:rPr>
          <w:rFonts w:ascii="Arial" w:hAnsi="Arial" w:cs="Arial"/>
          <w:noProof/>
          <w:sz w:val="22"/>
          <w:szCs w:val="22"/>
          <w:lang w:val="sr-Latn-ME"/>
        </w:rPr>
      </w:pPr>
      <w:r w:rsidRPr="00E576F1">
        <w:rPr>
          <w:rFonts w:ascii="Arial" w:hAnsi="Arial" w:cs="Arial"/>
          <w:noProof/>
          <w:sz w:val="22"/>
          <w:szCs w:val="22"/>
          <w:lang w:val="sr-Latn-ME"/>
        </w:rPr>
        <w:t xml:space="preserve">Rok izvršenja ugovora - maksimalan broj bodova po ovom podkriterijumu je </w:t>
      </w:r>
      <w:r w:rsidRPr="00E576F1">
        <w:rPr>
          <w:rFonts w:ascii="Arial" w:hAnsi="Arial" w:cs="Arial"/>
          <w:b/>
          <w:bCs/>
          <w:noProof/>
          <w:sz w:val="22"/>
          <w:szCs w:val="22"/>
          <w:lang w:val="sr-Latn-ME"/>
        </w:rPr>
        <w:t>10.</w:t>
      </w:r>
    </w:p>
    <w:p w14:paraId="47F0139E" w14:textId="77777777" w:rsidR="00E576F1" w:rsidRPr="00E576F1" w:rsidRDefault="00E576F1" w:rsidP="00E576F1">
      <w:pPr>
        <w:spacing w:after="160" w:line="259" w:lineRule="auto"/>
        <w:ind w:left="708"/>
        <w:contextualSpacing/>
        <w:jc w:val="both"/>
        <w:rPr>
          <w:rFonts w:ascii="Arial" w:hAnsi="Arial" w:cs="Arial"/>
          <w:noProof/>
          <w:sz w:val="22"/>
          <w:szCs w:val="22"/>
          <w:lang w:val="sr-Latn-ME"/>
        </w:rPr>
      </w:pPr>
      <w:r w:rsidRPr="00E576F1">
        <w:rPr>
          <w:rFonts w:ascii="Arial" w:hAnsi="Arial" w:cs="Arial"/>
          <w:noProof/>
          <w:sz w:val="22"/>
          <w:szCs w:val="22"/>
          <w:lang w:val="sr-Latn-ME"/>
        </w:rPr>
        <w:t xml:space="preserve">Podkriterijum kvalitet će se vrednovati na sljedeći način: u okviru podkriterijuma kvalitet vrednovaće se rok izvršenja ugovora, na način što se najmanji ponuđeni rok izvršenja ugovora podijeli sa ponuđenim rokom izvršenja ugovora i dobijeni količnik pomnoži sa brojem bodova koji je određen za ovaj podkriterijum – 10 bodova po formuli: </w:t>
      </w:r>
    </w:p>
    <w:p w14:paraId="602D61DF" w14:textId="77777777" w:rsidR="00E576F1" w:rsidRPr="00E576F1" w:rsidRDefault="00E576F1" w:rsidP="00E576F1">
      <w:pPr>
        <w:spacing w:after="160" w:line="259" w:lineRule="auto"/>
        <w:ind w:left="708"/>
        <w:contextualSpacing/>
        <w:jc w:val="both"/>
        <w:rPr>
          <w:rFonts w:ascii="Arial" w:hAnsi="Arial" w:cs="Arial"/>
          <w:noProof/>
          <w:sz w:val="22"/>
          <w:szCs w:val="22"/>
          <w:lang w:val="sr-Latn-ME"/>
        </w:rPr>
      </w:pPr>
    </w:p>
    <w:p w14:paraId="4810A12C" w14:textId="77777777" w:rsidR="00E576F1" w:rsidRDefault="00E576F1" w:rsidP="00E576F1">
      <w:pPr>
        <w:ind w:left="708"/>
        <w:rPr>
          <w:rFonts w:ascii="Arial" w:hAnsi="Arial" w:cs="Arial"/>
          <w:b/>
          <w:sz w:val="22"/>
          <w:szCs w:val="22"/>
          <w:lang w:val="sr-Latn-ME"/>
        </w:rPr>
      </w:pPr>
      <w:r w:rsidRPr="00E576F1">
        <w:rPr>
          <w:rFonts w:ascii="Arial" w:hAnsi="Arial" w:cs="Arial"/>
          <w:b/>
          <w:sz w:val="22"/>
          <w:szCs w:val="22"/>
          <w:lang w:val="sr-Latn-ME"/>
        </w:rPr>
        <w:t>R= (Rmin/Rp)x10</w:t>
      </w:r>
    </w:p>
    <w:p w14:paraId="503E6332" w14:textId="1AC8BE0A" w:rsidR="00E576F1" w:rsidRPr="00E576F1" w:rsidRDefault="00E576F1" w:rsidP="00E576F1">
      <w:pPr>
        <w:ind w:left="708"/>
        <w:rPr>
          <w:rFonts w:ascii="Arial" w:hAnsi="Arial" w:cs="Arial"/>
          <w:bCs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g</w:t>
      </w:r>
      <w:r w:rsidRPr="00E576F1">
        <w:rPr>
          <w:rFonts w:ascii="Arial" w:hAnsi="Arial" w:cs="Arial"/>
          <w:bCs/>
          <w:sz w:val="22"/>
          <w:szCs w:val="22"/>
          <w:lang w:val="sr-Latn-ME"/>
        </w:rPr>
        <w:t>dje je:</w:t>
      </w:r>
    </w:p>
    <w:p w14:paraId="4D475956" w14:textId="09D3EBA8" w:rsidR="00E576F1" w:rsidRPr="00E576F1" w:rsidRDefault="00E576F1" w:rsidP="00E576F1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 w:rsidRPr="00E576F1">
        <w:rPr>
          <w:rFonts w:ascii="Arial" w:hAnsi="Arial" w:cs="Arial"/>
          <w:sz w:val="22"/>
          <w:szCs w:val="22"/>
          <w:lang w:val="sr-Latn-ME"/>
        </w:rPr>
        <w:t>R – broj bodova za kvalitet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453B099D" w14:textId="18332DD5" w:rsidR="00E576F1" w:rsidRPr="00E576F1" w:rsidRDefault="00E576F1" w:rsidP="00E576F1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 w:rsidRPr="00E576F1">
        <w:rPr>
          <w:rFonts w:ascii="Arial" w:hAnsi="Arial" w:cs="Arial"/>
          <w:sz w:val="22"/>
          <w:szCs w:val="22"/>
          <w:lang w:val="sr-Latn-ME"/>
        </w:rPr>
        <w:t>Rmin – najmanji ponuđeni rok za realizaciju predmeta nabavke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04ECAFEB" w14:textId="76CB0C61" w:rsidR="00E576F1" w:rsidRPr="00E576F1" w:rsidRDefault="00E576F1" w:rsidP="00E576F1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 w:rsidRPr="00E576F1">
        <w:rPr>
          <w:rFonts w:ascii="Arial" w:hAnsi="Arial" w:cs="Arial"/>
          <w:sz w:val="22"/>
          <w:szCs w:val="22"/>
          <w:lang w:val="sr-Latn-ME"/>
        </w:rPr>
        <w:t>Rp –  ponuđeni rok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072582B9" w14:textId="2CAE66F0" w:rsidR="00E576F1" w:rsidRPr="00E576F1" w:rsidRDefault="00E576F1" w:rsidP="00E576F1">
      <w:pPr>
        <w:spacing w:after="160" w:line="259" w:lineRule="auto"/>
        <w:ind w:firstLine="708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E576F1">
        <w:rPr>
          <w:rFonts w:ascii="Arial" w:hAnsi="Arial" w:cs="Arial"/>
          <w:sz w:val="22"/>
          <w:szCs w:val="22"/>
          <w:lang w:val="sr-Latn-ME"/>
        </w:rPr>
        <w:t>10 – maksimalni broj bodova po ovom potkriterijumu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41F57425" w14:textId="77777777" w:rsidR="00E576F1" w:rsidRPr="00E576F1" w:rsidRDefault="00E576F1" w:rsidP="00E576F1">
      <w:pPr>
        <w:spacing w:after="160" w:line="259" w:lineRule="auto"/>
        <w:contextualSpacing/>
        <w:jc w:val="both"/>
        <w:rPr>
          <w:rFonts w:ascii="Arial" w:hAnsi="Arial" w:cs="Arial"/>
          <w:noProof/>
          <w:sz w:val="22"/>
          <w:szCs w:val="22"/>
          <w:lang w:val="sr-Latn-ME"/>
        </w:rPr>
      </w:pPr>
    </w:p>
    <w:p w14:paraId="07F1CFD3" w14:textId="7F924433" w:rsidR="00E576F1" w:rsidRPr="00E576F1" w:rsidRDefault="00E576F1" w:rsidP="00E576F1">
      <w:pPr>
        <w:spacing w:after="160" w:line="259" w:lineRule="auto"/>
        <w:contextualSpacing/>
        <w:jc w:val="both"/>
        <w:rPr>
          <w:rFonts w:ascii="Arial" w:hAnsi="Arial" w:cs="Arial"/>
          <w:noProof/>
          <w:sz w:val="22"/>
          <w:szCs w:val="22"/>
          <w:lang w:val="sr-Latn-ME"/>
        </w:rPr>
      </w:pPr>
      <w:r w:rsidRPr="00E576F1">
        <w:rPr>
          <w:rFonts w:ascii="Arial" w:hAnsi="Arial" w:cs="Arial"/>
          <w:noProof/>
          <w:sz w:val="22"/>
          <w:szCs w:val="22"/>
          <w:lang w:val="sr-Latn-ME"/>
        </w:rPr>
        <w:t xml:space="preserve">Minimalan rok izvršenja ugovora je 365 kalendarskih dana, a maksimalan rok izvršenja ugovora je 450 kalendarskih dana. Ponuđači su obavezni da rok </w:t>
      </w:r>
      <w:r>
        <w:rPr>
          <w:rFonts w:ascii="Arial" w:hAnsi="Arial" w:cs="Arial"/>
          <w:noProof/>
          <w:sz w:val="22"/>
          <w:szCs w:val="22"/>
          <w:lang w:val="sr-Latn-ME"/>
        </w:rPr>
        <w:t>izvršenja ugovora</w:t>
      </w:r>
      <w:r w:rsidRPr="00E576F1">
        <w:rPr>
          <w:rFonts w:ascii="Arial" w:hAnsi="Arial" w:cs="Arial"/>
          <w:noProof/>
          <w:sz w:val="22"/>
          <w:szCs w:val="22"/>
          <w:lang w:val="sr-Latn-ME"/>
        </w:rPr>
        <w:t xml:space="preserve"> prikažu u danima (cijeli brojevi).</w:t>
      </w:r>
    </w:p>
    <w:p w14:paraId="1FC7FE3F" w14:textId="28CCB8C9" w:rsidR="00007A05" w:rsidRPr="00E576F1" w:rsidRDefault="00E576F1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E576F1">
        <w:rPr>
          <w:rFonts w:ascii="Arial" w:hAnsi="Arial" w:cs="Arial"/>
          <w:sz w:val="22"/>
          <w:szCs w:val="22"/>
          <w:lang w:val="sr-Latn-ME"/>
        </w:rPr>
        <w:t>Ponuđač sa najvećim brojem bodova (C + R) će biti izabran kao prvorangirani.</w:t>
      </w:r>
    </w:p>
    <w:p w14:paraId="567187A9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0" w:name="_Toc62730560"/>
      <w:r w:rsidRPr="00B42DC9">
        <w:rPr>
          <w:rFonts w:ascii="Arial" w:hAnsi="Arial" w:cs="Arial"/>
          <w:b/>
          <w:sz w:val="22"/>
          <w:szCs w:val="22"/>
          <w:lang w:val="sr-Latn-ME"/>
        </w:rPr>
        <w:t>JEZIK PONUDE</w:t>
      </w:r>
      <w:bookmarkEnd w:id="10"/>
    </w:p>
    <w:p w14:paraId="5C6E30E4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0A567425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Ponuda se sačinjava na:</w:t>
      </w:r>
    </w:p>
    <w:p w14:paraId="31B276B3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1E5477B9" w14:textId="1119208E" w:rsidR="00007A05" w:rsidRPr="00B42DC9" w:rsidRDefault="00B42DC9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007A05" w:rsidRPr="00B42DC9">
        <w:rPr>
          <w:rFonts w:ascii="Arial" w:hAnsi="Arial" w:cs="Arial"/>
          <w:color w:val="000000"/>
          <w:sz w:val="22"/>
          <w:szCs w:val="22"/>
          <w:lang w:val="sr-Latn-ME"/>
        </w:rPr>
        <w:t>crnogorski jezik i drugi jezik koji je u službenoj upotrebi u Crnoj Gori, u skladu sa Ustavom i zakonom</w:t>
      </w:r>
    </w:p>
    <w:p w14:paraId="50FECBC1" w14:textId="59A1F664" w:rsidR="00E576F1" w:rsidRPr="00B42DC9" w:rsidRDefault="00B42DC9" w:rsidP="00E576F1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bookmarkStart w:id="11" w:name="_Hlk164712603"/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bookmarkEnd w:id="11"/>
      <w:r w:rsidR="00007A05" w:rsidRPr="00B42DC9">
        <w:rPr>
          <w:rFonts w:ascii="Arial" w:hAnsi="Arial" w:cs="Arial"/>
          <w:color w:val="000000"/>
          <w:sz w:val="22"/>
          <w:szCs w:val="22"/>
          <w:lang w:val="sr-Latn-ME"/>
        </w:rPr>
        <w:t xml:space="preserve"> </w:t>
      </w:r>
      <w:r w:rsidR="00E576F1"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engleskom jeziku za djelove ponude koji se odnose na tehničke termine a koje i Naručilac koristi, za dio ponude koji se odnosi na dokaze o tehničkim karakteristikama iz tehničke specifikacije i za sertifikate o ispunjenosti standarda ISO 9001 i ISO 27001. </w:t>
      </w:r>
    </w:p>
    <w:p w14:paraId="093E70D3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2" w:name="_Toc62730561"/>
      <w:r w:rsidRPr="00B42DC9">
        <w:rPr>
          <w:rFonts w:ascii="Arial" w:hAnsi="Arial" w:cs="Arial"/>
          <w:b/>
          <w:sz w:val="22"/>
          <w:szCs w:val="22"/>
          <w:lang w:val="sr-Latn-ME"/>
        </w:rPr>
        <w:t>NAČIN, MJESTO I VRIJEME PODNOŠENJA PONUDA I OTVARANJA PONUDA</w:t>
      </w:r>
      <w:bookmarkEnd w:id="12"/>
    </w:p>
    <w:p w14:paraId="23391D0E" w14:textId="563E5D7B" w:rsidR="00B42DC9" w:rsidRPr="00B42DC9" w:rsidRDefault="00B42DC9" w:rsidP="00B42DC9">
      <w:pPr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Ponude se podnose preko ESJN-a zaključno sa danom </w:t>
      </w:r>
      <w:r w:rsidR="00A31E3C">
        <w:rPr>
          <w:rFonts w:ascii="Arial" w:hAnsi="Arial" w:cs="Arial"/>
          <w:sz w:val="22"/>
          <w:szCs w:val="22"/>
          <w:lang w:val="sr-Latn-ME"/>
        </w:rPr>
        <w:t>31</w:t>
      </w:r>
      <w:r w:rsidRPr="00A31E3C">
        <w:rPr>
          <w:rFonts w:ascii="Arial" w:hAnsi="Arial" w:cs="Arial"/>
          <w:sz w:val="22"/>
          <w:szCs w:val="22"/>
          <w:lang w:val="sr-Latn-ME"/>
        </w:rPr>
        <w:t>.</w:t>
      </w:r>
      <w:r w:rsidR="00A31E3C">
        <w:rPr>
          <w:rFonts w:ascii="Arial" w:hAnsi="Arial" w:cs="Arial"/>
          <w:sz w:val="22"/>
          <w:szCs w:val="22"/>
          <w:lang w:val="sr-Latn-ME"/>
        </w:rPr>
        <w:t>05</w:t>
      </w:r>
      <w:r w:rsidRPr="00A31E3C">
        <w:rPr>
          <w:rFonts w:ascii="Arial" w:hAnsi="Arial" w:cs="Arial"/>
          <w:sz w:val="22"/>
          <w:szCs w:val="22"/>
          <w:lang w:val="sr-Latn-ME"/>
        </w:rPr>
        <w:t>.2024.</w:t>
      </w:r>
      <w:r w:rsidRPr="00B42DC9">
        <w:rPr>
          <w:rFonts w:ascii="Arial" w:hAnsi="Arial" w:cs="Arial"/>
          <w:sz w:val="22"/>
          <w:szCs w:val="22"/>
          <w:lang w:val="sr-Latn-ME"/>
        </w:rPr>
        <w:t xml:space="preserve"> godine do </w:t>
      </w:r>
      <w:r w:rsidR="00403489">
        <w:rPr>
          <w:rFonts w:ascii="Arial" w:hAnsi="Arial" w:cs="Arial"/>
          <w:sz w:val="22"/>
          <w:szCs w:val="22"/>
          <w:lang w:val="sr-Latn-ME"/>
        </w:rPr>
        <w:t>11</w:t>
      </w:r>
      <w:r w:rsidRPr="00B42DC9">
        <w:rPr>
          <w:rFonts w:ascii="Arial" w:hAnsi="Arial" w:cs="Arial"/>
          <w:sz w:val="22"/>
          <w:szCs w:val="22"/>
          <w:lang w:val="sr-Latn-ME"/>
        </w:rPr>
        <w:t>:</w:t>
      </w:r>
      <w:r w:rsidR="00A31E3C">
        <w:rPr>
          <w:rFonts w:ascii="Arial" w:hAnsi="Arial" w:cs="Arial"/>
          <w:sz w:val="22"/>
          <w:szCs w:val="22"/>
          <w:lang w:val="sr-Latn-ME"/>
        </w:rPr>
        <w:t>0</w:t>
      </w:r>
      <w:r w:rsidRPr="00B42DC9">
        <w:rPr>
          <w:rFonts w:ascii="Arial" w:hAnsi="Arial" w:cs="Arial"/>
          <w:sz w:val="22"/>
          <w:szCs w:val="22"/>
          <w:lang w:val="sr-Latn-ME"/>
        </w:rPr>
        <w:t>0 sati.</w:t>
      </w:r>
    </w:p>
    <w:p w14:paraId="611C5A5B" w14:textId="77777777" w:rsidR="00B42DC9" w:rsidRPr="00B42DC9" w:rsidRDefault="00B42DC9" w:rsidP="00B42DC9">
      <w:pPr>
        <w:rPr>
          <w:rFonts w:ascii="Arial" w:hAnsi="Arial" w:cs="Arial"/>
          <w:b/>
          <w:bCs/>
          <w:i/>
          <w:iCs/>
          <w:sz w:val="22"/>
          <w:szCs w:val="22"/>
          <w:lang w:val="sr-Latn-ME"/>
        </w:rPr>
      </w:pPr>
    </w:p>
    <w:p w14:paraId="17C33EB6" w14:textId="51B8F8AC" w:rsidR="00B42DC9" w:rsidRPr="00B42DC9" w:rsidRDefault="00B42DC9" w:rsidP="00B42DC9">
      <w:pPr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lastRenderedPageBreak/>
        <w:t xml:space="preserve">Otvaranje ponuda održaće se dana  </w:t>
      </w:r>
      <w:r w:rsidR="00A31E3C">
        <w:rPr>
          <w:rFonts w:ascii="Arial" w:hAnsi="Arial" w:cs="Arial"/>
          <w:sz w:val="22"/>
          <w:szCs w:val="22"/>
          <w:lang w:val="sr-Latn-ME"/>
        </w:rPr>
        <w:t>31</w:t>
      </w:r>
      <w:r w:rsidRPr="00A31E3C">
        <w:rPr>
          <w:rFonts w:ascii="Arial" w:hAnsi="Arial" w:cs="Arial"/>
          <w:sz w:val="22"/>
          <w:szCs w:val="22"/>
          <w:lang w:val="sr-Latn-ME"/>
        </w:rPr>
        <w:t>.</w:t>
      </w:r>
      <w:r w:rsidR="00A31E3C">
        <w:rPr>
          <w:rFonts w:ascii="Arial" w:hAnsi="Arial" w:cs="Arial"/>
          <w:sz w:val="22"/>
          <w:szCs w:val="22"/>
          <w:lang w:val="sr-Latn-ME"/>
        </w:rPr>
        <w:t>05</w:t>
      </w:r>
      <w:r w:rsidRPr="00A31E3C">
        <w:rPr>
          <w:rFonts w:ascii="Arial" w:hAnsi="Arial" w:cs="Arial"/>
          <w:sz w:val="22"/>
          <w:szCs w:val="22"/>
          <w:lang w:val="sr-Latn-ME"/>
        </w:rPr>
        <w:t>.2024</w:t>
      </w:r>
      <w:r w:rsidRPr="00B42DC9">
        <w:rPr>
          <w:rFonts w:ascii="Arial" w:hAnsi="Arial" w:cs="Arial"/>
          <w:sz w:val="22"/>
          <w:szCs w:val="22"/>
          <w:lang w:val="sr-Latn-ME"/>
        </w:rPr>
        <w:t xml:space="preserve">. godine u </w:t>
      </w:r>
      <w:r w:rsidR="00403489">
        <w:rPr>
          <w:rFonts w:ascii="Arial" w:hAnsi="Arial" w:cs="Arial"/>
          <w:sz w:val="22"/>
          <w:szCs w:val="22"/>
          <w:lang w:val="sr-Latn-ME"/>
        </w:rPr>
        <w:t>11</w:t>
      </w:r>
      <w:r w:rsidRPr="00B42DC9">
        <w:rPr>
          <w:rFonts w:ascii="Arial" w:hAnsi="Arial" w:cs="Arial"/>
          <w:sz w:val="22"/>
          <w:szCs w:val="22"/>
          <w:lang w:val="sr-Latn-ME"/>
        </w:rPr>
        <w:t xml:space="preserve">:00 sati. </w:t>
      </w:r>
    </w:p>
    <w:p w14:paraId="384983F1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77577463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7118F0E0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Adresa za dostavljanje Garancije ponude je: </w:t>
      </w:r>
    </w:p>
    <w:p w14:paraId="64DDA567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neposrednim podnošenjem na arhivi naručioca na adresi Bulevar Svetog Petra Cetinjskog 18, Podgorica;</w:t>
      </w:r>
    </w:p>
    <w:p w14:paraId="261F4D24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preporučenom pošiljkom sa povratnicom na adresi Bulevar Svetog Petra Cetinjskog 18, Podgorica, s tim što Garancija ponude mora biti uručena od strane poštanskog operatora najkasnije do roka određenog za podnošenje ponude, </w:t>
      </w:r>
    </w:p>
    <w:p w14:paraId="19DF2710" w14:textId="77777777" w:rsidR="00B42DC9" w:rsidRPr="00B42DC9" w:rsidRDefault="00B42DC9" w:rsidP="00B42DC9">
      <w:pPr>
        <w:rPr>
          <w:rFonts w:ascii="Arial" w:hAnsi="Arial" w:cs="Arial"/>
          <w:sz w:val="22"/>
          <w:szCs w:val="22"/>
          <w:lang w:val="sr-Latn-ME"/>
        </w:rPr>
      </w:pPr>
    </w:p>
    <w:p w14:paraId="20EA4125" w14:textId="6563D778" w:rsidR="00B42DC9" w:rsidRPr="00B42DC9" w:rsidRDefault="00B42DC9" w:rsidP="00B42DC9">
      <w:pPr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radnim danima od 8:00 do 15:00 sati, zaključno sa danom </w:t>
      </w:r>
      <w:r w:rsidR="00A31E3C" w:rsidRPr="00A31E3C">
        <w:rPr>
          <w:rFonts w:ascii="Arial" w:hAnsi="Arial" w:cs="Arial"/>
          <w:sz w:val="22"/>
          <w:szCs w:val="22"/>
          <w:lang w:val="sr-Latn-ME"/>
        </w:rPr>
        <w:t>31</w:t>
      </w:r>
      <w:r w:rsidRPr="00A31E3C">
        <w:rPr>
          <w:rFonts w:ascii="Arial" w:hAnsi="Arial" w:cs="Arial"/>
          <w:sz w:val="22"/>
          <w:szCs w:val="22"/>
          <w:lang w:val="sr-Latn-ME"/>
        </w:rPr>
        <w:t>.</w:t>
      </w:r>
      <w:r w:rsidR="00A31E3C" w:rsidRPr="00A31E3C">
        <w:rPr>
          <w:rFonts w:ascii="Arial" w:hAnsi="Arial" w:cs="Arial"/>
          <w:sz w:val="22"/>
          <w:szCs w:val="22"/>
          <w:lang w:val="sr-Latn-ME"/>
        </w:rPr>
        <w:t>05</w:t>
      </w:r>
      <w:r w:rsidRPr="00A31E3C">
        <w:rPr>
          <w:rFonts w:ascii="Arial" w:hAnsi="Arial" w:cs="Arial"/>
          <w:sz w:val="22"/>
          <w:szCs w:val="22"/>
          <w:lang w:val="sr-Latn-ME"/>
        </w:rPr>
        <w:t>.2024.</w:t>
      </w:r>
      <w:r w:rsidRPr="00B42DC9">
        <w:rPr>
          <w:rFonts w:ascii="Arial" w:hAnsi="Arial" w:cs="Arial"/>
          <w:sz w:val="22"/>
          <w:szCs w:val="22"/>
          <w:lang w:val="sr-Latn-ME"/>
        </w:rPr>
        <w:t xml:space="preserve"> godine do </w:t>
      </w:r>
      <w:r w:rsidR="00403489">
        <w:rPr>
          <w:rFonts w:ascii="Arial" w:hAnsi="Arial" w:cs="Arial"/>
          <w:sz w:val="22"/>
          <w:szCs w:val="22"/>
          <w:lang w:val="sr-Latn-ME"/>
        </w:rPr>
        <w:t>11</w:t>
      </w:r>
      <w:r w:rsidRPr="00B42DC9">
        <w:rPr>
          <w:rFonts w:ascii="Arial" w:hAnsi="Arial" w:cs="Arial"/>
          <w:sz w:val="22"/>
          <w:szCs w:val="22"/>
          <w:lang w:val="sr-Latn-ME"/>
        </w:rPr>
        <w:t>:</w:t>
      </w:r>
      <w:r w:rsidR="00A31E3C">
        <w:rPr>
          <w:rFonts w:ascii="Arial" w:hAnsi="Arial" w:cs="Arial"/>
          <w:sz w:val="22"/>
          <w:szCs w:val="22"/>
          <w:lang w:val="sr-Latn-ME"/>
        </w:rPr>
        <w:t>0</w:t>
      </w:r>
      <w:r w:rsidRPr="00B42DC9">
        <w:rPr>
          <w:rFonts w:ascii="Arial" w:hAnsi="Arial" w:cs="Arial"/>
          <w:sz w:val="22"/>
          <w:szCs w:val="22"/>
          <w:lang w:val="sr-Latn-ME"/>
        </w:rPr>
        <w:t>0  sati.</w:t>
      </w:r>
    </w:p>
    <w:p w14:paraId="55D1E1FC" w14:textId="77777777" w:rsidR="00B42DC9" w:rsidRPr="00B42DC9" w:rsidRDefault="00B42DC9" w:rsidP="00B42DC9">
      <w:pPr>
        <w:rPr>
          <w:rFonts w:ascii="Arial" w:hAnsi="Arial" w:cs="Arial"/>
          <w:i/>
          <w:iCs/>
          <w:sz w:val="22"/>
          <w:szCs w:val="22"/>
          <w:lang w:val="sr-Latn-ME"/>
        </w:rPr>
      </w:pPr>
    </w:p>
    <w:p w14:paraId="3B7B080C" w14:textId="703BA629" w:rsidR="00007A05" w:rsidRPr="00B42DC9" w:rsidRDefault="00B42DC9" w:rsidP="00A31E3C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ponuda".</w:t>
      </w:r>
    </w:p>
    <w:p w14:paraId="423499BF" w14:textId="62EBA2D2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3" w:name="_Toc62730562"/>
      <w:r w:rsidRPr="00B42DC9">
        <w:rPr>
          <w:rFonts w:ascii="Arial" w:hAnsi="Arial" w:cs="Arial"/>
          <w:b/>
          <w:sz w:val="22"/>
          <w:szCs w:val="22"/>
          <w:lang w:val="sr-Latn-ME"/>
        </w:rPr>
        <w:t>USLOVI ZA AKTIVIRANJE GARANCIJE PONUDE</w:t>
      </w:r>
      <w:r w:rsidRPr="00B42DC9">
        <w:rPr>
          <w:rFonts w:ascii="Arial" w:hAnsi="Arial" w:cs="Arial"/>
          <w:sz w:val="22"/>
          <w:szCs w:val="22"/>
          <w:vertAlign w:val="superscript"/>
        </w:rPr>
        <w:footnoteReference w:id="9"/>
      </w:r>
      <w:bookmarkEnd w:id="13"/>
    </w:p>
    <w:p w14:paraId="76FB10B2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18BC747A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Garancija ponude će se aktivirati ako ponuđač: </w:t>
      </w:r>
    </w:p>
    <w:p w14:paraId="10CD30E2" w14:textId="77777777" w:rsidR="00007A05" w:rsidRPr="00B42DC9" w:rsidRDefault="00007A05" w:rsidP="00007A05">
      <w:pPr>
        <w:pStyle w:val="T30X"/>
        <w:ind w:left="567" w:hanging="283"/>
        <w:rPr>
          <w:rFonts w:ascii="Arial" w:hAnsi="Arial" w:cs="Arial"/>
          <w:lang w:val="sr-Latn-ME"/>
        </w:rPr>
      </w:pPr>
      <w:r w:rsidRPr="00B42DC9">
        <w:rPr>
          <w:rFonts w:ascii="Arial" w:hAnsi="Arial" w:cs="Arial"/>
          <w:lang w:val="sr-Latn-ME"/>
        </w:rPr>
        <w:t>1) odustane od ponude u roku važenja ponude i/ili</w:t>
      </w:r>
    </w:p>
    <w:p w14:paraId="63466F1D" w14:textId="3B626336" w:rsidR="00007A05" w:rsidRPr="00B42DC9" w:rsidRDefault="00007A05" w:rsidP="00B42DC9">
      <w:pPr>
        <w:pStyle w:val="T30X"/>
        <w:rPr>
          <w:rFonts w:ascii="Arial" w:hAnsi="Arial" w:cs="Arial"/>
          <w:lang w:val="sr-Latn-ME"/>
        </w:rPr>
      </w:pPr>
      <w:r w:rsidRPr="00B42DC9">
        <w:rPr>
          <w:rFonts w:ascii="Arial" w:hAnsi="Arial" w:cs="Arial"/>
          <w:lang w:val="sr-Latn-ME"/>
        </w:rPr>
        <w:t xml:space="preserve"> 2) odbije da zaključi ugovor o javnoj nabavci ili okvirni sporazum.</w:t>
      </w:r>
    </w:p>
    <w:p w14:paraId="46562860" w14:textId="00EE44E8" w:rsidR="00007A05" w:rsidRPr="000B0B93" w:rsidRDefault="00007A05" w:rsidP="000B0B9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4" w:name="_Toc62730563"/>
      <w:r w:rsidRPr="00B42DC9">
        <w:rPr>
          <w:rFonts w:ascii="Arial" w:hAnsi="Arial" w:cs="Arial"/>
          <w:b/>
          <w:sz w:val="22"/>
          <w:szCs w:val="22"/>
          <w:lang w:val="sr-Latn-ME"/>
        </w:rPr>
        <w:t>TAJNOST PODATAKA</w:t>
      </w:r>
      <w:bookmarkEnd w:id="14"/>
    </w:p>
    <w:p w14:paraId="2D280663" w14:textId="4FD634AC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Tenderska dokumentacija sadrži tajne podatke</w:t>
      </w:r>
    </w:p>
    <w:p w14:paraId="744E138A" w14:textId="7EDF95A9" w:rsidR="00007A05" w:rsidRPr="000B0B93" w:rsidRDefault="00A31E3C" w:rsidP="000B0B93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FE5AC6">
        <w:rPr>
          <w:rFonts w:ascii="Arial" w:hAnsi="Arial" w:cs="Arial"/>
          <w:color w:val="000000"/>
          <w:sz w:val="22"/>
          <w:szCs w:val="22"/>
          <w:lang w:val="sr-Latn-ME"/>
        </w:rPr>
        <w:sym w:font="Wingdings" w:char="F0FE"/>
      </w:r>
      <w:r w:rsidR="00007A05" w:rsidRPr="00B42DC9">
        <w:rPr>
          <w:rFonts w:ascii="Arial" w:hAnsi="Arial" w:cs="Arial"/>
          <w:color w:val="000000"/>
          <w:sz w:val="22"/>
          <w:szCs w:val="22"/>
          <w:lang w:val="sr-Latn-ME"/>
        </w:rPr>
        <w:t xml:space="preserve"> ne</w:t>
      </w:r>
    </w:p>
    <w:p w14:paraId="72508453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5" w:name="_Toc62730564"/>
      <w:r w:rsidRPr="00B42DC9">
        <w:rPr>
          <w:rFonts w:ascii="Arial" w:hAnsi="Arial" w:cs="Arial"/>
          <w:b/>
          <w:sz w:val="22"/>
          <w:szCs w:val="22"/>
          <w:lang w:val="sr-Latn-ME"/>
        </w:rPr>
        <w:t>UPUTSTVO ZA SAČINJAVANJE PONUDE</w:t>
      </w:r>
      <w:bookmarkEnd w:id="15"/>
    </w:p>
    <w:p w14:paraId="15F15346" w14:textId="77777777" w:rsidR="00007A05" w:rsidRPr="00B42DC9" w:rsidRDefault="00007A05" w:rsidP="00007A05">
      <w:pPr>
        <w:rPr>
          <w:rFonts w:ascii="Arial" w:hAnsi="Arial" w:cs="Arial"/>
          <w:sz w:val="22"/>
          <w:szCs w:val="22"/>
          <w:lang w:val="sr-Latn-ME"/>
        </w:rPr>
      </w:pPr>
    </w:p>
    <w:p w14:paraId="6614664A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37A51820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06B45A11" w14:textId="016209BF" w:rsidR="00007A05" w:rsidRPr="00A31E3C" w:rsidRDefault="00007A05" w:rsidP="00007A05">
      <w:pPr>
        <w:jc w:val="both"/>
        <w:rPr>
          <w:rFonts w:ascii="Arial" w:hAnsi="Arial" w:cs="Arial"/>
          <w:i/>
          <w:iCs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Ponuđač je dužan da tačno, potpuno, pravilno i nedvosmisleno popuni </w:t>
      </w:r>
      <w:r w:rsidRPr="00B42DC9">
        <w:rPr>
          <w:rFonts w:ascii="Arial" w:eastAsia="Calibri" w:hAnsi="Arial" w:cs="Arial"/>
          <w:sz w:val="22"/>
          <w:szCs w:val="22"/>
          <w:lang w:val="sr-Latn-ME"/>
        </w:rPr>
        <w:t>Izjavu privrednog subjekta u skladu sa zahtjevima iz tenderske dokumentacije.</w:t>
      </w:r>
    </w:p>
    <w:p w14:paraId="4FEFF1F3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jc w:val="both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6" w:name="_Toc62730565"/>
      <w:r w:rsidRPr="00B42DC9">
        <w:rPr>
          <w:rFonts w:ascii="Arial" w:hAnsi="Arial" w:cs="Arial"/>
          <w:b/>
          <w:sz w:val="22"/>
          <w:szCs w:val="22"/>
          <w:lang w:val="sr-Latn-ME"/>
        </w:rPr>
        <w:t>NAČIN ZAKLJUČIVANJA I IZMJENE UGOVORA O JAVNOJ NABAVCI</w:t>
      </w:r>
      <w:bookmarkEnd w:id="16"/>
    </w:p>
    <w:p w14:paraId="4321E4D3" w14:textId="77777777" w:rsidR="00007A05" w:rsidRPr="00B42DC9" w:rsidRDefault="00007A05" w:rsidP="00007A05">
      <w:pPr>
        <w:jc w:val="both"/>
        <w:rPr>
          <w:rFonts w:ascii="Arial" w:hAnsi="Arial" w:cs="Arial"/>
          <w:i/>
          <w:sz w:val="22"/>
          <w:szCs w:val="22"/>
          <w:lang w:val="sr-Latn-ME"/>
        </w:rPr>
      </w:pPr>
    </w:p>
    <w:p w14:paraId="06543B90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87DACAC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38562684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5C105C3C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7AAF522B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B42DC9">
        <w:rPr>
          <w:rFonts w:ascii="Arial" w:hAnsi="Arial" w:cs="Arial"/>
          <w:color w:val="000000"/>
          <w:sz w:val="22"/>
          <w:szCs w:val="22"/>
          <w:vertAlign w:val="superscript"/>
          <w:lang w:val="sr-Latn-ME"/>
        </w:rPr>
        <w:footnoteReference w:id="10"/>
      </w:r>
    </w:p>
    <w:p w14:paraId="0B9EAD20" w14:textId="77777777" w:rsidR="00007A05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B5D0157" w14:textId="77777777" w:rsidR="00B42DC9" w:rsidRPr="00B42DC9" w:rsidRDefault="00B42DC9" w:rsidP="00B42DC9">
      <w:p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Ugovorna kazna za svaki dan kašnjenja u odnosu na rok izvršenja Ugovora, određuje se na iznos </w:t>
      </w:r>
      <w:r w:rsidRPr="00B42DC9">
        <w:rPr>
          <w:rFonts w:ascii="Arial" w:eastAsia="Calibri" w:hAnsi="Arial" w:cs="Arial"/>
          <w:sz w:val="22"/>
          <w:szCs w:val="22"/>
          <w:lang w:val="sr-Latn-ME"/>
        </w:rPr>
        <w:t>od 0,1%</w:t>
      </w: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ugovorene cijene za svaki dan kašnjenja, s tim što ukupan iznos ugovorne kazne ne može preći </w:t>
      </w:r>
      <w:r w:rsidRPr="00B42DC9">
        <w:rPr>
          <w:rFonts w:ascii="Arial" w:eastAsia="Calibri" w:hAnsi="Arial" w:cs="Arial"/>
          <w:sz w:val="22"/>
          <w:szCs w:val="22"/>
          <w:lang w:val="sr-Latn-ME"/>
        </w:rPr>
        <w:t>5%</w:t>
      </w: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od ukupne vrijednosti ugovorenog posla. </w:t>
      </w:r>
    </w:p>
    <w:p w14:paraId="7A093F64" w14:textId="77777777" w:rsidR="00B42DC9" w:rsidRPr="00B42DC9" w:rsidRDefault="00B42DC9" w:rsidP="00B42DC9">
      <w:p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Ako zbog prekoračenja roka Naručiocu nastane šteta u iznosu većem od obračunate ugovorene kazne, Dobavljač je dužan da plati Naručiocu pored ugovorne kazne i iznos naknade štete koji prelazi visinu ugovorene kazne.</w:t>
      </w:r>
    </w:p>
    <w:p w14:paraId="4FD1E8E5" w14:textId="77777777" w:rsidR="00B42DC9" w:rsidRPr="00B42DC9" w:rsidRDefault="00B42DC9" w:rsidP="00B42DC9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Uvođenje Dobavljača u posao biće izvršeno najkasnije u roku od 5 kalendarskih dana nakon obostranog potpisivanja Ugovora.</w:t>
      </w:r>
    </w:p>
    <w:p w14:paraId="42E085EA" w14:textId="77777777" w:rsidR="00B42DC9" w:rsidRPr="00B42DC9" w:rsidRDefault="00B42DC9" w:rsidP="00B42DC9">
      <w:p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Naručilac i Dobavljač se obavezuju da najkasnije u roku od 20 kalendarskih dana od uvođenja Dobavljača u posao usaglase</w:t>
      </w: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i potpišu Dinamički plan aktivnosti, koji sadrži listu poslova, raspored izvršenja poslova i rokove trajanja poslova odnosno aktivnosti. Usaglašeni Dinamički plan ovjeravaju Dobavljač, Naručilac i Stručni nadzor kojeg će angažovati Naručilac.</w:t>
      </w:r>
    </w:p>
    <w:p w14:paraId="3A7E2AFD" w14:textId="77777777" w:rsidR="00B42DC9" w:rsidRPr="00B42DC9" w:rsidRDefault="00B42DC9" w:rsidP="00B42DC9">
      <w:p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plan aktivnosti treba da sadrži jasno definisanu dinamiku izvođenja najmanje  sljedećih aktivnosti:</w:t>
      </w:r>
    </w:p>
    <w:p w14:paraId="1544029B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Obilazak lokacija;</w:t>
      </w:r>
    </w:p>
    <w:p w14:paraId="6D24ADDA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Izrada Plana testiranja opreme i sistema;</w:t>
      </w:r>
    </w:p>
    <w:p w14:paraId="332E7138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Izrada Plana i programa obuke; </w:t>
      </w:r>
      <w:bookmarkStart w:id="17" w:name="_Hlk140658598"/>
    </w:p>
    <w:bookmarkEnd w:id="17"/>
    <w:p w14:paraId="17BA2FE9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Isporuka i montaža opreme po komponentama sistema (građevinski radovi, SKS, računarska i mrežna komunikaciona oprema, oprema za sistem video nadzora, oprema za sistem dojave požara itd.) i po lokacijama;</w:t>
      </w:r>
    </w:p>
    <w:p w14:paraId="5CCCCAD2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Povezivanje sa Centrom za monitoring i klijentskim stanicama, konfiguracija i podešavanje opreme i sistema, integracija u CGES okruženje, fino podešavanje i optimizacija sistema;</w:t>
      </w:r>
    </w:p>
    <w:p w14:paraId="378DB793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Testiranje opreme i  sistema prema usvojenom Planu testiranja;</w:t>
      </w:r>
    </w:p>
    <w:p w14:paraId="52C861B6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Probni rad, kreiranje grupa i prava korisnika, izrada potrebnih uputstava;</w:t>
      </w:r>
    </w:p>
    <w:p w14:paraId="6C595EC1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Izrada Projekta izvedenog stanja sa mjernim protokolima/sertifikatima;</w:t>
      </w:r>
    </w:p>
    <w:p w14:paraId="3B94F193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Izrada Plana održavanja sistema.</w:t>
      </w:r>
    </w:p>
    <w:p w14:paraId="5C0457C3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Primopredaja i puštanje u rad.</w:t>
      </w:r>
    </w:p>
    <w:p w14:paraId="62DFB62F" w14:textId="77777777" w:rsidR="00B42DC9" w:rsidRDefault="00B42DC9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77FD64D" w14:textId="77777777" w:rsidR="00B42DC9" w:rsidRP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>Za vrijeme garantnog roka Dobavljač je dužan da o svom trošku, otkloni sve kvarove i nedostatke nastale bez krivice Naručioca, odnosno upotrebom opreme u skladu sa uputstvima proizvođača i Dobavljača. Obaveza Dobavljača je da u garantnom roku obezbijedi on-site i on-line podršku za sve komponente sistema i ista obuhvata:</w:t>
      </w:r>
    </w:p>
    <w:p w14:paraId="2E4D416F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dijagnostiku problema u radu sistema tehničke zaštite putem daljinskog pristupa;</w:t>
      </w:r>
    </w:p>
    <w:p w14:paraId="64D403A8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konsultacije putem telefona;</w:t>
      </w:r>
    </w:p>
    <w:p w14:paraId="349D370C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korekcije neregularnosti u radu sistema, zamjenu neispravnih hardverskih jedinica;</w:t>
      </w:r>
    </w:p>
    <w:p w14:paraId="0E559A3C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softversku tehničku asistenciju (konfigurisanje, itd.);</w:t>
      </w:r>
    </w:p>
    <w:p w14:paraId="050A9F3B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preventivno održavanje sistema (nadzor-periodični pregled);</w:t>
      </w:r>
    </w:p>
    <w:p w14:paraId="038B4D17" w14:textId="77777777" w:rsidR="00B42DC9" w:rsidRPr="00B42DC9" w:rsidRDefault="00B42DC9" w:rsidP="00B42DC9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besplatan pristup svim softverskim unapređenjima kao i sigurnosnim patch-evima kod proizvođača sistema.</w:t>
      </w:r>
    </w:p>
    <w:p w14:paraId="678A3104" w14:textId="3E6B8185" w:rsid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 xml:space="preserve">Podrška Dobavljača treba da bude raspoloživa 24 sata dnevno, 7 dana u nedjelji, 365 dana u godini. U slučaju prijave nepravilnosti, u zavisnosti od nivoa neregularnosti u radu sistema, </w:t>
      </w:r>
      <w:r w:rsidRPr="00B42DC9">
        <w:rPr>
          <w:rFonts w:ascii="Arial" w:eastAsia="Calibri" w:hAnsi="Arial" w:cs="Arial"/>
          <w:sz w:val="22"/>
          <w:szCs w:val="22"/>
          <w:lang w:val="sr-Latn-ME"/>
        </w:rPr>
        <w:lastRenderedPageBreak/>
        <w:t>maksimalno vrijeme odziva i vrijeme dovođenja sistema u ispravno stanje treba da bude prema sljedećem:</w:t>
      </w:r>
    </w:p>
    <w:p w14:paraId="3F768A08" w14:textId="77777777" w:rsidR="00DF6A0E" w:rsidRPr="00B42DC9" w:rsidRDefault="00DF6A0E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3B8756EC" w14:textId="77777777" w:rsidR="00B42DC9" w:rsidRPr="00B42DC9" w:rsidRDefault="00B42DC9" w:rsidP="00B42DC9">
      <w:pPr>
        <w:ind w:left="7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 xml:space="preserve">Nivo 1 - vrijeme odziva: do 1 sata od prijave nepravilnosti. Vrijeme dovođenja sistema u ispravno stanje: 4 sata od prijave nepravilnosti; </w:t>
      </w:r>
    </w:p>
    <w:p w14:paraId="521E67DC" w14:textId="77777777" w:rsidR="00B42DC9" w:rsidRPr="00B42DC9" w:rsidRDefault="00B42DC9" w:rsidP="00B42DC9">
      <w:pPr>
        <w:ind w:left="7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>Nivo 2 - vrijeme odziva: do 12 sati od prijave nepravilnosti. Vrijeme dovođenja sistema u ispravno stanje: 24 sata od prijave nepravilnosti</w:t>
      </w:r>
    </w:p>
    <w:p w14:paraId="738351BD" w14:textId="77777777" w:rsidR="00B42DC9" w:rsidRPr="00B42DC9" w:rsidRDefault="00B42DC9" w:rsidP="00B42DC9">
      <w:pPr>
        <w:ind w:left="7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 xml:space="preserve">             gdje je:</w:t>
      </w:r>
    </w:p>
    <w:p w14:paraId="0FE3B24E" w14:textId="77777777" w:rsidR="00B42DC9" w:rsidRPr="00B42DC9" w:rsidRDefault="00B42DC9" w:rsidP="00B42DC9">
      <w:pPr>
        <w:ind w:left="7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>Nivo 1: Neregularnost koja je prouzrokovala prestanak rada cjelokupnog sistema ili nekog od vitalnih djelova sistema (npr. VMS, oprema u Centru za monitoring i sl.);</w:t>
      </w:r>
    </w:p>
    <w:p w14:paraId="2D3C0A84" w14:textId="77777777" w:rsidR="00B42DC9" w:rsidRPr="00B42DC9" w:rsidRDefault="00B42DC9" w:rsidP="00B42DC9">
      <w:pPr>
        <w:ind w:left="720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 xml:space="preserve">Nivo 2: Neregularnost koja je prouzrokovala nepravilnost u radu pojedinačnih komponenti sistema na nekoj od lokacija (kamere, NVR, aktivna mrežna oprema i sl.) </w:t>
      </w:r>
    </w:p>
    <w:p w14:paraId="218A5A97" w14:textId="77777777" w:rsid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14:paraId="09762322" w14:textId="2731189F" w:rsidR="00B42DC9" w:rsidRP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 xml:space="preserve">Naručilac će odrediti kontakt tačku koja će tokom garantnog perioda biti ovlašćena za prijavu nepravilnosti Dobavljaču. Dobavljaču bi bio omogućen pristup opremi kada se vrši intervencija bilo fizički (on-site) ili daljinski (on-line). Po izvršenoj intervenciji zapisnički se konstatuje spisak eventualno ugrađene opreme i izvršenih radova. Obavezno je vođenje evidencije o svim intervencijama, kao i redovno upoznavanje Naručioca sa svim tehničkim inovacijama. </w:t>
      </w:r>
    </w:p>
    <w:p w14:paraId="142E80F5" w14:textId="77777777" w:rsidR="00B42DC9" w:rsidRP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>Ponovljena usluga servisiranja ili zamjene opreme mora imati garantni rok sa istim trajanjem kao i prvobitno izvršena usluga ili isporučena oprema. Za sve ugrađene djelove gdje je od strane proizvođača definisan garantni period, dostavljaju se garantni listovi i uputstva za korišćenje.</w:t>
      </w:r>
    </w:p>
    <w:p w14:paraId="5715FF6C" w14:textId="77777777" w:rsidR="00B42DC9" w:rsidRPr="00B42DC9" w:rsidRDefault="00B42DC9" w:rsidP="00B42DC9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sz w:val="22"/>
          <w:szCs w:val="22"/>
          <w:lang w:val="sr-Latn-ME"/>
        </w:rPr>
        <w:t>Dobavljač se obavezuje da Naručiocu dostavi detaljna uputstva o konfiguraciji, upravljanju i održavanju svih komponenti sistema (kamera, NVR-a, svičeva, korišćenju VMS aplikacije i sl.) i to kao dokumente sa praktičnim primjerima (screenshot sa aplikacije uz tekstualno obrazloženje postupka rada).</w:t>
      </w:r>
    </w:p>
    <w:p w14:paraId="01F4AE37" w14:textId="77777777" w:rsidR="00B42DC9" w:rsidRPr="00B42DC9" w:rsidRDefault="00B42DC9" w:rsidP="00B42DC9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B42DC9">
        <w:rPr>
          <w:rFonts w:ascii="Arial" w:eastAsia="Calibri" w:hAnsi="Arial" w:cs="Arial"/>
          <w:noProof/>
          <w:sz w:val="22"/>
          <w:szCs w:val="22"/>
          <w:lang w:val="sr-Latn-RS"/>
        </w:rPr>
        <w:t>Obaveze Dobavljača su:</w:t>
      </w:r>
    </w:p>
    <w:p w14:paraId="22CC12DA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obaveze izvrši u obimu i rokovima definisanim tenderskom dokumentacijom i Ugovorom; </w:t>
      </w:r>
    </w:p>
    <w:p w14:paraId="09FC08BF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obezbijedi minimalno zahtijevanu kvalifikovanu radnu snagu sa iskustvom za specificiranu vrstu radova; </w:t>
      </w:r>
    </w:p>
    <w:p w14:paraId="24E83FCF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obezbijedi mehanizaciju, alate, materijal, opremu i druge neophodne elemente za uspješno i bezbjedno izvršenje predmeta nabavke; </w:t>
      </w:r>
    </w:p>
    <w:p w14:paraId="7CE4B96B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sva sredstva za rad, uređaji i alati koje koristi na realizaciji Ugovora budu ispravna i periodično pregledana u skladu sa važećim propisima;</w:t>
      </w:r>
    </w:p>
    <w:p w14:paraId="6DAA3A2D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dostavi Izjavu o obezbjeđivanju kontakt tačke zadužene za komunikaciju sa Naručiocem u vezi sa prijavom i otklanjanjem problema u radu isporučenog sistema tehničke zaštite;</w:t>
      </w:r>
    </w:p>
    <w:p w14:paraId="3686B760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odredi jedno ili više lica koje će biti zaduženo za komunikaciju sa Naručiocem; </w:t>
      </w:r>
    </w:p>
    <w:p w14:paraId="6935AE6C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ugovorene radove vrši preko imenovanih ovlašćenih inženjera i stručnih lica u toku cjelokupnog perioda  realizacije Ugovora, te da u slučaju njihove spriječenosti da budu angažovani na realizaciji Ugovora, odmah imenuje drugog ovlašćenog inženjera, odnosno stručno lice, koje ispunjava uslove definisane tenderskom dokumentacijom i o tome obavijesti Naručioca, uz podnošenje dokaza o ispunjenosti uslova definisanih tenderskom dokumentacijom;</w:t>
      </w:r>
    </w:p>
    <w:p w14:paraId="4B714930" w14:textId="77777777" w:rsidR="00B42DC9" w:rsidRPr="00B42DC9" w:rsidRDefault="00B42DC9" w:rsidP="000B0B93">
      <w:pPr>
        <w:numPr>
          <w:ilvl w:val="0"/>
          <w:numId w:val="11"/>
        </w:numPr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 xml:space="preserve">da dostavi statički proračun za temelje i stubove koji se isporučuju a koji će precizno obuhvatiti sljedeće: </w:t>
      </w:r>
    </w:p>
    <w:p w14:paraId="54119C1D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analizu opterećenja od stalnog opterećenja u skladu sa MEST EN 40;</w:t>
      </w:r>
    </w:p>
    <w:p w14:paraId="429EF108" w14:textId="21A5D569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analizu opterećenja od vjetra u skladu sa MEST EN 40, a za usvojene karakteristike opreme koja se montira na stub, kao i za tačne podatke o brzini vjetra za datu lokaciju, kategoriji terena i dr.. ;</w:t>
      </w:r>
    </w:p>
    <w:p w14:paraId="66919A58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proračunski dokaz nosivosti karakterističnih presjeka stuba u skladu sa MEST EN 40;</w:t>
      </w:r>
    </w:p>
    <w:p w14:paraId="7ADB0505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lastRenderedPageBreak/>
        <w:t>proračunski dokaz da usvojeni stub za usvojenu konfiguraciju opreme koja se montira na njega ima pomjeranje vrha manje od 0.5 % od visine stuba;</w:t>
      </w:r>
    </w:p>
    <w:p w14:paraId="3F5C95F7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proračun dimenzija temelja (širina x dužina x visina)  i karakteristike materijala od kojeg se izrađuje temelj, a za ulazne podatke o karakteristikama tla koje tačno odgovaraju predmetnoj lokaciji (usvojiti za sve lokacije nosivost tla od 150 kN/m2), sa potrebnom pratećom grafičkom dokumentacijom;</w:t>
      </w:r>
    </w:p>
    <w:p w14:paraId="5DF1F607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proračun anker ploče preko koje se stub fiksira za temelj;</w:t>
      </w:r>
    </w:p>
    <w:p w14:paraId="26784775" w14:textId="77777777" w:rsidR="00B42DC9" w:rsidRPr="00B42DC9" w:rsidRDefault="00B42DC9" w:rsidP="000B0B93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proračun ankera (prečnik, broj, materijal, dužina, raspored).</w:t>
      </w:r>
    </w:p>
    <w:p w14:paraId="6F5A0FF8" w14:textId="77777777" w:rsidR="00B42DC9" w:rsidRPr="00B42DC9" w:rsidRDefault="00B42DC9" w:rsidP="00B42DC9">
      <w:pPr>
        <w:suppressAutoHyphens/>
        <w:ind w:left="1080"/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Svaki stub koji se isporuči treba da prati adekvatna grafička dokumentacija na osnovu koje će isti moći da se ugradi, a kojom će biti definisani svi prodori u betonu temelja za prolaz instalacija ukoliko je to potrebno i sl.</w:t>
      </w:r>
    </w:p>
    <w:p w14:paraId="6D238D55" w14:textId="77777777" w:rsidR="00B42DC9" w:rsidRPr="00B42DC9" w:rsidRDefault="00B42DC9" w:rsidP="000B0B93">
      <w:pPr>
        <w:numPr>
          <w:ilvl w:val="0"/>
          <w:numId w:val="13"/>
        </w:numPr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hAnsi="Arial" w:cs="Arial"/>
          <w:noProof/>
          <w:sz w:val="22"/>
          <w:szCs w:val="22"/>
        </w:rPr>
        <w:t>u obavezi da obezbijedi skladištenje opreme, transport i istovar iste do pojedinačnih objekata neposredno prije početka montaže na svakoj od lokacija. Prilikom isporuke opreme na lokaciju, Stručni nadzor, Naručilac i Dobavljač će, izvršiti kvalitativni i kvantitativni prijem robe i zapisnički konstatovati utvrđeno stanje. Ukoliko se, tom prilikom, utvrdi da isporučena roba nije u skladu sa specifikacijom iz tenderske dokumentacije i ponude, Dobavljač je dužan da o svom trošku, bez odlaganja, isporuči opremu u skladu sa Ponudom;</w:t>
      </w:r>
    </w:p>
    <w:p w14:paraId="07F1F9FB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dostavi potrebnu dokumentaciju o izvršenim ispitivanjima opreme i izvedenih radova u toku realizacije Ugovora. Sve troškove ispitivanja i kompletiranja mjernih protokola, atestne ili sertifikacione dokumentacije snosi Dobavljač; </w:t>
      </w:r>
    </w:p>
    <w:p w14:paraId="690FCEA6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najkasnije 7 dana prije početka izvođenja radova na konkretnom objektu dostavi  spisak svog osoblja koje će učestvovati u tim radovima i radni nalog sa imenovanim ovlašćenim inženjerima;</w:t>
      </w:r>
    </w:p>
    <w:p w14:paraId="1E77A68D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prije početka izvođenja radova upozna svoje osoblje sa aktima Naručioca kojima se propisuju procedure i pravila kojih je neophodno pridržavati se prilikom ulaska, kretanja, boravka i izvođenja radova u objektima CGES-a, kao i sa obavezama i odgovornostima koja iz istih proističu (Pravilnik o zaštiti i zdravlju na radu, Uputstvo za bezbjedan rad u elektroenergetskim postrojenjima i na dalekovodima). Osoblje Dobavljača je dužno da prije početka izvođenja radova, potpiše sve izjave i formulare propisane navedenim aktima Naručioca;</w:t>
      </w:r>
    </w:p>
    <w:p w14:paraId="6F3D2671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bookmarkStart w:id="18" w:name="_Hlk142557780"/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štiti povjerljivost podatka o Naručiocu, njegovoj opremi, lokacijama na kojima je oprema smještena, kapacitetima koje koristi, sadržaju komunikacije, kao i druge podatke koji su mu dostupni prilikom realizacije Ugovora i da iste neće koristiti u druge svrhe</w:t>
      </w:r>
      <w:bookmarkEnd w:id="18"/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;</w:t>
      </w:r>
    </w:p>
    <w:p w14:paraId="3BC0A0F3" w14:textId="77777777" w:rsidR="00B42DC9" w:rsidRPr="00B42DC9" w:rsidRDefault="00B42DC9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>da dostavi Projekat izvedenog stanja sistema tehničke zaštite obavezno štićenih objekata CGES-a;</w:t>
      </w:r>
    </w:p>
    <w:p w14:paraId="67EB6B3C" w14:textId="77777777" w:rsidR="00B42DC9" w:rsidRPr="00B42DC9" w:rsidRDefault="00B42DC9" w:rsidP="000B0B93">
      <w:pPr>
        <w:numPr>
          <w:ilvl w:val="0"/>
          <w:numId w:val="11"/>
        </w:numPr>
        <w:ind w:left="714" w:hanging="35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obezbijedi potrebnu atestiranu/kalibrisanu opremu za izvođenje testiranja; </w:t>
      </w:r>
    </w:p>
    <w:p w14:paraId="4D7DB849" w14:textId="77777777" w:rsidR="00B42DC9" w:rsidRPr="00B42DC9" w:rsidRDefault="00B42DC9" w:rsidP="000B0B93">
      <w:pPr>
        <w:numPr>
          <w:ilvl w:val="0"/>
          <w:numId w:val="14"/>
        </w:numPr>
        <w:ind w:left="714" w:hanging="357"/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uredno i po propisima vodi propisanu gradilišnu dokumentaciju; </w:t>
      </w:r>
    </w:p>
    <w:p w14:paraId="6B139A0A" w14:textId="77777777" w:rsidR="00B42DC9" w:rsidRPr="00B42DC9" w:rsidRDefault="00B42DC9" w:rsidP="000B0B93">
      <w:pPr>
        <w:numPr>
          <w:ilvl w:val="0"/>
          <w:numId w:val="14"/>
        </w:numPr>
        <w:ind w:left="714" w:hanging="357"/>
        <w:jc w:val="both"/>
        <w:rPr>
          <w:rFonts w:ascii="Arial" w:hAnsi="Arial" w:cs="Arial"/>
          <w:noProof/>
          <w:sz w:val="22"/>
          <w:szCs w:val="22"/>
        </w:rPr>
      </w:pPr>
      <w:r w:rsidRPr="00B42DC9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da troškove izvedenih radova obračunava po jedinicama mjere izvedenih radova iskazanim u Građevinskoj knjizi; </w:t>
      </w:r>
    </w:p>
    <w:p w14:paraId="4653717F" w14:textId="77777777" w:rsidR="00B42DC9" w:rsidRDefault="00B42DC9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9BA87BE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 xml:space="preserve">Obaveze Naručioca su da: </w:t>
      </w:r>
    </w:p>
    <w:p w14:paraId="23F644B0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bCs/>
          <w:sz w:val="22"/>
          <w:szCs w:val="22"/>
          <w:lang w:val="sr-Latn-ME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 xml:space="preserve">imenuje Stručni nadzor i lica koja će pratiti realizaciju Ugovora i potpisati </w:t>
      </w:r>
      <w:r w:rsidRPr="000B0B93">
        <w:rPr>
          <w:rFonts w:ascii="Arial" w:eastAsia="Calibri" w:hAnsi="Arial" w:cs="Arial"/>
          <w:b/>
          <w:noProof/>
          <w:sz w:val="22"/>
          <w:szCs w:val="22"/>
          <w:lang w:val="sr-Latn-RS"/>
        </w:rPr>
        <w:t>Zapisnik o uspješno izvršenom testiranju sistema tehničke zaštie</w:t>
      </w: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 xml:space="preserve">, </w:t>
      </w:r>
      <w:r w:rsidRPr="000B0B93">
        <w:rPr>
          <w:rFonts w:ascii="Arial" w:eastAsia="Calibri" w:hAnsi="Arial" w:cs="Arial"/>
          <w:b/>
          <w:noProof/>
          <w:sz w:val="22"/>
          <w:szCs w:val="22"/>
          <w:lang w:val="sr-Latn-RS"/>
        </w:rPr>
        <w:t xml:space="preserve">Zapisnik o primopredaji implementiranog sistema tehničke zaštite </w:t>
      </w: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 xml:space="preserve">za sve obavezno štićene objekte. </w:t>
      </w:r>
      <w:r w:rsidRPr="000B0B93">
        <w:rPr>
          <w:rFonts w:ascii="Arial" w:eastAsia="Calibri" w:hAnsi="Arial" w:cs="Arial"/>
          <w:bCs/>
          <w:sz w:val="22"/>
          <w:szCs w:val="22"/>
          <w:lang w:val="sr-Latn-ME"/>
        </w:rPr>
        <w:t xml:space="preserve">Postojanje Stručnog nadzora i njegovi eventualni propusti u vršenju stručnog nadzora ne oslobađaju Dobavljača od njegove obaveze i odgovornosti za kvalitetno i pravilno izvođenje radova;                                                    </w:t>
      </w:r>
    </w:p>
    <w:p w14:paraId="39B5E469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odredi lice ili lica za komunikaciju sa Dobavljačem;</w:t>
      </w:r>
    </w:p>
    <w:p w14:paraId="12086D22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da uvede Dobavljača u posao najkasnije 5 kalendarskih dana nakon potpisivanja Ugovora;</w:t>
      </w:r>
    </w:p>
    <w:p w14:paraId="684F74C9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obezbijedi napajanje električnom energijom na svim lokacijama;</w:t>
      </w:r>
    </w:p>
    <w:p w14:paraId="4B402F24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obezbijedi prostor za instalaciju opreme;</w:t>
      </w:r>
    </w:p>
    <w:p w14:paraId="785D5609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lastRenderedPageBreak/>
        <w:t>obezbijedi beznaponsko stanje u slučaju potrebe;</w:t>
      </w:r>
    </w:p>
    <w:p w14:paraId="2FBA8EEE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obezbijedi povezanost lokacija sa Centrom za monitoring;</w:t>
      </w:r>
      <w:r w:rsidRPr="000B0B93">
        <w:rPr>
          <w:rFonts w:ascii="Arial" w:eastAsia="Calibri" w:hAnsi="Arial" w:cs="Arial"/>
          <w:noProof/>
          <w:sz w:val="22"/>
          <w:szCs w:val="22"/>
          <w:highlight w:val="yellow"/>
          <w:lang w:val="sr-Latn-RS"/>
        </w:rPr>
        <w:t xml:space="preserve"> </w:t>
      </w:r>
    </w:p>
    <w:p w14:paraId="230A1D73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ispunjava svoje obaveze u rokovima navedenim u Tenderskoj dokumentaciji;</w:t>
      </w:r>
    </w:p>
    <w:p w14:paraId="56188836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u slučaju prekida i/ili smetnje u radu opreme prijavi iste Dobavljaču;</w:t>
      </w:r>
    </w:p>
    <w:p w14:paraId="062E6BBE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da izvrši plaćanja prema načinu i uslovima utvrđenim odredbama Ugovora i ovjerenim fakturama od strane Stručnog nadzora.</w:t>
      </w:r>
    </w:p>
    <w:p w14:paraId="3DE80F9F" w14:textId="77777777" w:rsidR="000B0B93" w:rsidRPr="000B0B93" w:rsidRDefault="000B0B93" w:rsidP="000B0B93">
      <w:pPr>
        <w:ind w:left="720"/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</w:p>
    <w:p w14:paraId="532352B9" w14:textId="2EF91CC6" w:rsidR="00B42DC9" w:rsidRDefault="000B0B93" w:rsidP="000B0B93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Ugovorne strane su saglasne da do raskida Ugovora može doći u slučaju kada Naručilac ustanovi da roba koja je isporučena nije u skladu sa specifikacijom datom u tenderskoj dokumentaciji i prihvaćenom ponudom,u slučaju da se Dobavljač ne pridržava ugovorenih rokova izvođenja radova, ni nakon pisanog upozorenja Naručioca</w:t>
      </w:r>
      <w:r>
        <w:rPr>
          <w:rFonts w:ascii="Arial" w:eastAsia="Calibri" w:hAnsi="Arial" w:cs="Arial"/>
          <w:noProof/>
          <w:sz w:val="22"/>
          <w:szCs w:val="22"/>
          <w:lang w:val="sr-Latn-RS"/>
        </w:rPr>
        <w:t>.</w:t>
      </w:r>
    </w:p>
    <w:p w14:paraId="081CB8F0" w14:textId="77777777" w:rsidR="00B42DC9" w:rsidRDefault="00B42DC9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7ADF757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Ukoliko u toku trajanja Ugovora dođe do bilo kakvih promjena u nazivu ili drugim statusnim promjenama ugovornih strana, tada će sva prava i obaveze ugovorne strane kod koje dođe do takve promjene, preći na njenog pravnog sljedbenika.</w:t>
      </w:r>
    </w:p>
    <w:p w14:paraId="07F68C2A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Naručilac i Dobavljač su saglasni da sastavni i obavezujući dio Ugovora čine sljedeća dokumenta:</w:t>
      </w:r>
    </w:p>
    <w:p w14:paraId="186BECA5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Tehnička specifikacija;</w:t>
      </w:r>
    </w:p>
    <w:p w14:paraId="7F62310E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Ponuda Dobavljača;</w:t>
      </w:r>
    </w:p>
    <w:p w14:paraId="7500F259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Avansna garancija;</w:t>
      </w:r>
    </w:p>
    <w:p w14:paraId="7B0C9772" w14:textId="73E5CC43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Garancija za dobro izvršenje ugovora;</w:t>
      </w:r>
    </w:p>
    <w:p w14:paraId="2D1ADB90" w14:textId="77777777" w:rsidR="000B0B93" w:rsidRPr="000B0B93" w:rsidRDefault="000B0B93" w:rsidP="000B0B93">
      <w:pPr>
        <w:numPr>
          <w:ilvl w:val="0"/>
          <w:numId w:val="11"/>
        </w:num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 xml:space="preserve">Polisa o osiguranju </w:t>
      </w:r>
      <w:r w:rsidRPr="000B0B93">
        <w:rPr>
          <w:rFonts w:ascii="Arial" w:eastAsia="Calibri" w:hAnsi="Arial" w:cs="Arial"/>
          <w:color w:val="000000"/>
          <w:sz w:val="22"/>
          <w:szCs w:val="22"/>
          <w:lang w:val="sr-Latn-ME"/>
        </w:rPr>
        <w:t>od profesionalne odgovornosti za štetu koja može da nastane investitoru ili trećim licima;</w:t>
      </w:r>
    </w:p>
    <w:p w14:paraId="7A65F38F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Za sve što nije predviđeno ugovorom primjenjuju se odredbe Zakona o obligacionim odnosima Crne Gore (Sl. list Crne Gore br. 47/08).</w:t>
      </w:r>
    </w:p>
    <w:p w14:paraId="343DA365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Ugovorne strane su saglasne da eventualne sporove povodom ovog ugovora rješavaju sporazumom. U protivnom, ugovara se nadležnost suda u Podgorici.</w:t>
      </w:r>
    </w:p>
    <w:p w14:paraId="3BB229A4" w14:textId="77777777" w:rsidR="000B0B93" w:rsidRPr="000B0B93" w:rsidRDefault="000B0B93" w:rsidP="000B0B93">
      <w:pPr>
        <w:jc w:val="both"/>
        <w:rPr>
          <w:rFonts w:ascii="Arial" w:eastAsia="Calibri" w:hAnsi="Arial" w:cs="Arial"/>
          <w:noProof/>
          <w:sz w:val="22"/>
          <w:szCs w:val="22"/>
          <w:lang w:val="sr-Latn-RS"/>
        </w:rPr>
      </w:pPr>
      <w:r w:rsidRPr="000B0B93">
        <w:rPr>
          <w:rFonts w:ascii="Arial" w:eastAsia="Calibri" w:hAnsi="Arial" w:cs="Arial"/>
          <w:noProof/>
          <w:sz w:val="22"/>
          <w:szCs w:val="22"/>
          <w:lang w:val="sr-Latn-RS"/>
        </w:rPr>
        <w:t>Ugovor o javnoj nabavci koji je zaključen uz kršenje antikorupcijskog pravila u skladu sa odredbama člana 38 ZJN („Službeni list CG”, br.74/19, 3/23 i 11/23) ništav je.Dobavljač je dužan da u roku od 15 dana od dana dostavljanja Ugovora vrati Naručiocu potpisan Ugovor zajedno sa avansnom i garancijom za dobro izvršenje Ugovora.</w:t>
      </w:r>
    </w:p>
    <w:p w14:paraId="3CF44B26" w14:textId="77777777" w:rsidR="000B0B93" w:rsidRPr="000B0B93" w:rsidRDefault="000B0B93" w:rsidP="000B0B93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sym w:font="Wingdings" w:char="F0A8"/>
      </w:r>
      <w:r w:rsidRPr="000B0B93">
        <w:rPr>
          <w:rFonts w:ascii="Arial" w:hAnsi="Arial" w:cs="Arial"/>
          <w:sz w:val="22"/>
          <w:szCs w:val="22"/>
          <w:lang w:val="sr-Latn-ME"/>
        </w:rPr>
        <w:t xml:space="preserve"> Ugovor o javnoj nabavci tokom njegovog trajanja može da se izmijeni bez sprovođenja novog postupka javne nabavke u skladu sa članom 151 Zakona o javnim nabavkama: </w:t>
      </w:r>
    </w:p>
    <w:p w14:paraId="02F3D117" w14:textId="77777777" w:rsidR="000B0B93" w:rsidRPr="000B0B93" w:rsidRDefault="000B0B93" w:rsidP="000B0B93">
      <w:pPr>
        <w:ind w:left="720"/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1) ako su izmjene, bez obzira na njihovu vrijednost izraženu u novcu, predviđene tenderskom dokumentacijom i ugovorom o javnoj nabavci i uključuju izmjenu cijene,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ugovora,</w:t>
      </w:r>
    </w:p>
    <w:p w14:paraId="5EA9227D" w14:textId="77777777" w:rsidR="000B0B93" w:rsidRPr="000B0B93" w:rsidRDefault="000B0B93" w:rsidP="000B0B93">
      <w:pPr>
        <w:ind w:left="720"/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2) radi nabavke dodatnih usluga ili radova, koji su postali neophodni, a koji nijesu bili uključeni u prvobitni ugovor o javnoj nabavci, ako promjena privrednog subjekta sa kojim je zaključen ugovor 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nije veće od 20% vrijednosti prvobitnog ugovora,</w:t>
      </w:r>
    </w:p>
    <w:p w14:paraId="199D0C07" w14:textId="77777777" w:rsidR="000B0B93" w:rsidRPr="000B0B93" w:rsidRDefault="000B0B93" w:rsidP="000B0B93">
      <w:pPr>
        <w:ind w:left="720"/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>3) kada je potreba za izmjenom ugovora nastala zbog okolnosti koje naručilac u vrijeme zaključivanja ugovora nije mogao da predvidi, a izmjenom se ne mijenja priroda ugovora a povećanje vrijednosti ugovora nije veće od 20% vrijednosti prvobitnog ugovora,</w:t>
      </w:r>
    </w:p>
    <w:p w14:paraId="6091FAC1" w14:textId="55148D28" w:rsidR="00007A05" w:rsidRPr="000B0B93" w:rsidRDefault="000B0B93" w:rsidP="000B0B93">
      <w:pPr>
        <w:ind w:left="720"/>
        <w:jc w:val="both"/>
        <w:rPr>
          <w:rFonts w:ascii="Arial" w:hAnsi="Arial" w:cs="Arial"/>
          <w:sz w:val="22"/>
          <w:szCs w:val="22"/>
          <w:lang w:val="sr-Latn-ME"/>
        </w:rPr>
      </w:pPr>
      <w:r w:rsidRPr="000B0B93">
        <w:rPr>
          <w:rFonts w:ascii="Arial" w:hAnsi="Arial" w:cs="Arial"/>
          <w:sz w:val="22"/>
          <w:szCs w:val="22"/>
          <w:lang w:val="sr-Latn-ME"/>
        </w:rPr>
        <w:t xml:space="preserve">4) ako privrednog subjekta nakon restrukturiranja, uključujući preuzimanje, spajanje, kupovinu ili stečaj, zamjenjuje u potpunosti ili djelimično novi pravni sljedbenik, odnosno privredni subjekat, koji ispunjava prvobitno određene uslove zaključenog ugovora o javnoj </w:t>
      </w:r>
      <w:r w:rsidRPr="000B0B93">
        <w:rPr>
          <w:rFonts w:ascii="Arial" w:hAnsi="Arial" w:cs="Arial"/>
          <w:sz w:val="22"/>
          <w:szCs w:val="22"/>
          <w:lang w:val="sr-Latn-ME"/>
        </w:rPr>
        <w:lastRenderedPageBreak/>
        <w:t>nabavci, a izmjene su predviđene tenderskom dokumentacijom, pod uslovom da se ne vrše druge bitne izmjene ugovora iz člana 150 stav 2 ovog zakona.</w:t>
      </w:r>
    </w:p>
    <w:p w14:paraId="5B4DB120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jc w:val="both"/>
        <w:outlineLvl w:val="0"/>
        <w:rPr>
          <w:rFonts w:ascii="Arial" w:hAnsi="Arial" w:cs="Arial"/>
          <w:b/>
          <w:sz w:val="22"/>
          <w:szCs w:val="22"/>
          <w:lang w:val="sr-Latn-ME"/>
        </w:rPr>
      </w:pPr>
      <w:bookmarkStart w:id="19" w:name="_Toc62730566"/>
      <w:r w:rsidRPr="00B42DC9">
        <w:rPr>
          <w:rFonts w:ascii="Arial" w:hAnsi="Arial" w:cs="Arial"/>
          <w:b/>
          <w:sz w:val="22"/>
          <w:szCs w:val="22"/>
          <w:lang w:val="sr-Latn-ME"/>
        </w:rPr>
        <w:t>ZAHTJEV ZA POJAŠNJENJE ILI IZMJENU I DOPUNU TENDERSKE DOKUMENTACIJE</w:t>
      </w:r>
      <w:bookmarkEnd w:id="19"/>
    </w:p>
    <w:p w14:paraId="4E9111DC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E66FAB7" w14:textId="77777777" w:rsidR="00007A05" w:rsidRPr="00B42DC9" w:rsidRDefault="00007A05" w:rsidP="00007A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3FAD177F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E6B34E2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B42DC9">
        <w:rPr>
          <w:rFonts w:ascii="Arial" w:hAnsi="Arial" w:cs="Arial"/>
          <w:sz w:val="22"/>
          <w:szCs w:val="22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21D8A276" w14:textId="77777777" w:rsidR="00007A05" w:rsidRPr="00B42DC9" w:rsidRDefault="00007A05" w:rsidP="00007A05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EDD5320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Zahtjev se podnosi isključivo putem ESJN-a.</w:t>
      </w:r>
    </w:p>
    <w:p w14:paraId="5BCAA653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85BA4BC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ECB66F6" w14:textId="77777777" w:rsidR="00007A05" w:rsidRPr="00B42DC9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C39BAB8" w14:textId="77777777" w:rsidR="00007A05" w:rsidRDefault="00007A05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9BDB57E" w14:textId="77777777" w:rsidR="000B0B93" w:rsidRDefault="000B0B93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E57A3D2" w14:textId="77777777" w:rsidR="000B0B93" w:rsidRDefault="000B0B93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C60050E" w14:textId="77777777" w:rsidR="000B0B93" w:rsidRDefault="000B0B93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6C4846F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9875F14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1CCFD6F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1F30180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23A8141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E94B22F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B1E74CD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5CF1B7A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DDB2E0E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BCCDB3D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29AAFC2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8568211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B335163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9202E35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76D67C04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4EB6DF8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3BE6105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67120E8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EFC73C9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86D792B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72C51FE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5AEF0BA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15442A1E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0E3C566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407A789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65E2737B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5F8D621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E5E750A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1FF2224" w14:textId="77777777" w:rsidR="00A31E3C" w:rsidRDefault="00A31E3C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F33AC51" w14:textId="7E6F9726" w:rsidR="00A31E3C" w:rsidRPr="00B42DC9" w:rsidRDefault="00B11129" w:rsidP="00007A05">
      <w:pPr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11129">
        <w:rPr>
          <w:rFonts w:ascii="Arial" w:hAnsi="Arial" w:cs="Arial"/>
          <w:color w:val="000000"/>
          <w:sz w:val="22"/>
          <w:szCs w:val="22"/>
          <w:lang w:val="sr-Latn-ME"/>
        </w:rPr>
        <w:lastRenderedPageBreak/>
        <w:drawing>
          <wp:inline distT="0" distB="0" distL="0" distR="0" wp14:anchorId="1A067BC7" wp14:editId="5E5FF664">
            <wp:extent cx="6377940" cy="6827520"/>
            <wp:effectExtent l="0" t="0" r="3810" b="0"/>
            <wp:docPr id="32736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643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8F87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106D2448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4615A9C2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481E5BE1" w14:textId="77777777" w:rsidR="00007A05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16D40CD3" w14:textId="77777777" w:rsidR="00B11129" w:rsidRPr="00B42DC9" w:rsidRDefault="00B11129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4FB7AFDD" w14:textId="77777777" w:rsidR="00007A05" w:rsidRPr="00B42DC9" w:rsidRDefault="00007A05" w:rsidP="00007A0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sr-Latn-ME"/>
        </w:rPr>
      </w:pPr>
    </w:p>
    <w:p w14:paraId="54E2850E" w14:textId="77777777" w:rsidR="00007A05" w:rsidRPr="00B42DC9" w:rsidRDefault="00007A05" w:rsidP="00007A0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outlineLvl w:val="0"/>
        <w:rPr>
          <w:rFonts w:ascii="Arial" w:hAnsi="Arial" w:cs="Arial"/>
          <w:b/>
          <w:iCs/>
          <w:sz w:val="22"/>
          <w:szCs w:val="22"/>
          <w:lang w:val="sr-Latn-ME"/>
        </w:rPr>
      </w:pPr>
      <w:bookmarkStart w:id="20" w:name="_Toc62730568"/>
      <w:r w:rsidRPr="00B42DC9">
        <w:rPr>
          <w:rFonts w:ascii="Arial" w:hAnsi="Arial" w:cs="Arial"/>
          <w:b/>
          <w:sz w:val="22"/>
          <w:szCs w:val="22"/>
          <w:lang w:val="sr-Latn-ME"/>
        </w:rPr>
        <w:lastRenderedPageBreak/>
        <w:t>UPUTSTVO O PRAVNOM SREDSTVU</w:t>
      </w:r>
      <w:bookmarkEnd w:id="20"/>
    </w:p>
    <w:p w14:paraId="111746C7" w14:textId="77777777" w:rsidR="00007A05" w:rsidRPr="00B42DC9" w:rsidRDefault="00007A05" w:rsidP="00007A05">
      <w:pPr>
        <w:tabs>
          <w:tab w:val="left" w:pos="5760"/>
        </w:tabs>
        <w:jc w:val="center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502E7DB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B42DC9">
        <w:rPr>
          <w:rFonts w:ascii="Arial" w:hAnsi="Arial" w:cs="Arial"/>
          <w:color w:val="000000"/>
          <w:sz w:val="22"/>
          <w:szCs w:val="22"/>
        </w:rPr>
        <w:t>:</w:t>
      </w:r>
    </w:p>
    <w:p w14:paraId="1B8592CE" w14:textId="77777777" w:rsidR="00007A05" w:rsidRPr="00B42DC9" w:rsidRDefault="00007A05" w:rsidP="00007A05">
      <w:pPr>
        <w:pStyle w:val="T30X"/>
        <w:ind w:left="567" w:hanging="283"/>
        <w:rPr>
          <w:rFonts w:ascii="Arial" w:hAnsi="Arial" w:cs="Arial"/>
        </w:rPr>
      </w:pPr>
      <w:r w:rsidRPr="00B42DC9">
        <w:rPr>
          <w:rFonts w:ascii="Arial" w:hAnsi="Arial" w:cs="Arial"/>
        </w:rPr>
        <w:t xml:space="preserve">   1) u </w:t>
      </w:r>
      <w:proofErr w:type="spellStart"/>
      <w:r w:rsidRPr="00B42DC9">
        <w:rPr>
          <w:rFonts w:ascii="Arial" w:hAnsi="Arial" w:cs="Arial"/>
        </w:rPr>
        <w:t>roku</w:t>
      </w:r>
      <w:proofErr w:type="spellEnd"/>
      <w:r w:rsidRPr="00B42DC9">
        <w:rPr>
          <w:rFonts w:ascii="Arial" w:hAnsi="Arial" w:cs="Arial"/>
        </w:rPr>
        <w:t xml:space="preserve"> od 20 dana od dana </w:t>
      </w:r>
      <w:proofErr w:type="spellStart"/>
      <w:r w:rsidRPr="00B42DC9">
        <w:rPr>
          <w:rFonts w:ascii="Arial" w:hAnsi="Arial" w:cs="Arial"/>
        </w:rPr>
        <w:t>objavljivanja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dostavljanja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ili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izmjene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dopune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ako</w:t>
      </w:r>
      <w:proofErr w:type="spellEnd"/>
      <w:r w:rsidRPr="00B42DC9">
        <w:rPr>
          <w:rFonts w:ascii="Arial" w:hAnsi="Arial" w:cs="Arial"/>
        </w:rPr>
        <w:t xml:space="preserve"> je </w:t>
      </w:r>
      <w:proofErr w:type="spellStart"/>
      <w:r w:rsidRPr="00B42DC9">
        <w:rPr>
          <w:rFonts w:ascii="Arial" w:hAnsi="Arial" w:cs="Arial"/>
        </w:rPr>
        <w:t>rok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podnošenje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prijava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kvalifikaciju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ponuda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najmanje</w:t>
      </w:r>
      <w:proofErr w:type="spellEnd"/>
      <w:r w:rsidRPr="00B42DC9">
        <w:rPr>
          <w:rFonts w:ascii="Arial" w:hAnsi="Arial" w:cs="Arial"/>
        </w:rPr>
        <w:t xml:space="preserve"> 30 dana od dana </w:t>
      </w:r>
      <w:proofErr w:type="spellStart"/>
      <w:r w:rsidRPr="00B42DC9">
        <w:rPr>
          <w:rFonts w:ascii="Arial" w:hAnsi="Arial" w:cs="Arial"/>
        </w:rPr>
        <w:t>objavljivanja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dostavljanja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ili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izmjene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dopune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>;</w:t>
      </w:r>
    </w:p>
    <w:p w14:paraId="6E5D9EEF" w14:textId="77777777" w:rsidR="00007A05" w:rsidRPr="00B42DC9" w:rsidRDefault="00007A05" w:rsidP="00007A05">
      <w:pPr>
        <w:pStyle w:val="T30X"/>
        <w:ind w:left="567" w:hanging="283"/>
        <w:rPr>
          <w:rFonts w:ascii="Arial" w:hAnsi="Arial" w:cs="Arial"/>
        </w:rPr>
      </w:pPr>
      <w:r w:rsidRPr="00B42DC9">
        <w:rPr>
          <w:rFonts w:ascii="Arial" w:hAnsi="Arial" w:cs="Arial"/>
        </w:rPr>
        <w:t xml:space="preserve">   2) u </w:t>
      </w:r>
      <w:proofErr w:type="spellStart"/>
      <w:r w:rsidRPr="00B42DC9">
        <w:rPr>
          <w:rFonts w:ascii="Arial" w:hAnsi="Arial" w:cs="Arial"/>
        </w:rPr>
        <w:t>roku</w:t>
      </w:r>
      <w:proofErr w:type="spellEnd"/>
      <w:r w:rsidRPr="00B42DC9">
        <w:rPr>
          <w:rFonts w:ascii="Arial" w:hAnsi="Arial" w:cs="Arial"/>
        </w:rPr>
        <w:t xml:space="preserve"> od </w:t>
      </w:r>
      <w:proofErr w:type="spellStart"/>
      <w:r w:rsidRPr="00B42DC9">
        <w:rPr>
          <w:rFonts w:ascii="Arial" w:hAnsi="Arial" w:cs="Arial"/>
        </w:rPr>
        <w:t>deset</w:t>
      </w:r>
      <w:proofErr w:type="spellEnd"/>
      <w:r w:rsidRPr="00B42DC9">
        <w:rPr>
          <w:rFonts w:ascii="Arial" w:hAnsi="Arial" w:cs="Arial"/>
        </w:rPr>
        <w:t xml:space="preserve"> dana od dana </w:t>
      </w:r>
      <w:proofErr w:type="spellStart"/>
      <w:r w:rsidRPr="00B42DC9">
        <w:rPr>
          <w:rFonts w:ascii="Arial" w:hAnsi="Arial" w:cs="Arial"/>
        </w:rPr>
        <w:t>objavljivanja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dostavljanja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ili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izmjene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dopune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ako</w:t>
      </w:r>
      <w:proofErr w:type="spellEnd"/>
      <w:r w:rsidRPr="00B42DC9">
        <w:rPr>
          <w:rFonts w:ascii="Arial" w:hAnsi="Arial" w:cs="Arial"/>
        </w:rPr>
        <w:t xml:space="preserve"> je </w:t>
      </w:r>
      <w:proofErr w:type="spellStart"/>
      <w:r w:rsidRPr="00B42DC9">
        <w:rPr>
          <w:rFonts w:ascii="Arial" w:hAnsi="Arial" w:cs="Arial"/>
        </w:rPr>
        <w:t>rok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podnošenje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prijava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kvalifikaciju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ponuda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najmanje</w:t>
      </w:r>
      <w:proofErr w:type="spellEnd"/>
      <w:r w:rsidRPr="00B42DC9">
        <w:rPr>
          <w:rFonts w:ascii="Arial" w:hAnsi="Arial" w:cs="Arial"/>
        </w:rPr>
        <w:t xml:space="preserve"> 15 dana od dana </w:t>
      </w:r>
      <w:proofErr w:type="spellStart"/>
      <w:r w:rsidRPr="00B42DC9">
        <w:rPr>
          <w:rFonts w:ascii="Arial" w:hAnsi="Arial" w:cs="Arial"/>
        </w:rPr>
        <w:t>objavljivanja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dostavljanja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ili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izmjene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dopune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>;</w:t>
      </w:r>
    </w:p>
    <w:p w14:paraId="18A71636" w14:textId="77777777" w:rsidR="00007A05" w:rsidRPr="00B42DC9" w:rsidRDefault="00007A05" w:rsidP="00007A05">
      <w:pPr>
        <w:pStyle w:val="T30X"/>
        <w:ind w:left="567" w:hanging="283"/>
        <w:rPr>
          <w:rFonts w:ascii="Arial" w:hAnsi="Arial" w:cs="Arial"/>
        </w:rPr>
      </w:pPr>
      <w:r w:rsidRPr="00B42DC9">
        <w:rPr>
          <w:rFonts w:ascii="Arial" w:hAnsi="Arial" w:cs="Arial"/>
        </w:rPr>
        <w:t xml:space="preserve">   3) do </w:t>
      </w:r>
      <w:proofErr w:type="spellStart"/>
      <w:r w:rsidRPr="00B42DC9">
        <w:rPr>
          <w:rFonts w:ascii="Arial" w:hAnsi="Arial" w:cs="Arial"/>
        </w:rPr>
        <w:t>isteka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polovine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roka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podnošenje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prijava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kvalifikaciju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ponuda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ako</w:t>
      </w:r>
      <w:proofErr w:type="spellEnd"/>
      <w:r w:rsidRPr="00B42DC9">
        <w:rPr>
          <w:rFonts w:ascii="Arial" w:hAnsi="Arial" w:cs="Arial"/>
        </w:rPr>
        <w:t xml:space="preserve"> je </w:t>
      </w:r>
      <w:proofErr w:type="spellStart"/>
      <w:r w:rsidRPr="00B42DC9">
        <w:rPr>
          <w:rFonts w:ascii="Arial" w:hAnsi="Arial" w:cs="Arial"/>
        </w:rPr>
        <w:t>rok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podnošenje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prijava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kvalifikaciju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ponuda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kraći</w:t>
      </w:r>
      <w:proofErr w:type="spellEnd"/>
      <w:r w:rsidRPr="00B42DC9">
        <w:rPr>
          <w:rFonts w:ascii="Arial" w:hAnsi="Arial" w:cs="Arial"/>
        </w:rPr>
        <w:t xml:space="preserve"> od 15 dana od dana </w:t>
      </w:r>
      <w:proofErr w:type="spellStart"/>
      <w:r w:rsidRPr="00B42DC9">
        <w:rPr>
          <w:rFonts w:ascii="Arial" w:hAnsi="Arial" w:cs="Arial"/>
        </w:rPr>
        <w:t>objavljivanja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odnosno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dostavljanja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ili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izmjene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dopune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tenderske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dokumentacije</w:t>
      </w:r>
      <w:proofErr w:type="spellEnd"/>
      <w:r w:rsidRPr="00B42DC9">
        <w:rPr>
          <w:rFonts w:ascii="Arial" w:hAnsi="Arial" w:cs="Arial"/>
        </w:rPr>
        <w:t xml:space="preserve">, a u </w:t>
      </w:r>
      <w:proofErr w:type="spellStart"/>
      <w:r w:rsidRPr="00B42DC9">
        <w:rPr>
          <w:rFonts w:ascii="Arial" w:hAnsi="Arial" w:cs="Arial"/>
        </w:rPr>
        <w:t>slučaju</w:t>
      </w:r>
      <w:proofErr w:type="spellEnd"/>
      <w:r w:rsidRPr="00B42DC9">
        <w:rPr>
          <w:rFonts w:ascii="Arial" w:hAnsi="Arial" w:cs="Arial"/>
        </w:rPr>
        <w:t xml:space="preserve"> da je </w:t>
      </w:r>
      <w:proofErr w:type="spellStart"/>
      <w:r w:rsidRPr="00B42DC9">
        <w:rPr>
          <w:rFonts w:ascii="Arial" w:hAnsi="Arial" w:cs="Arial"/>
        </w:rPr>
        <w:t>posljednji</w:t>
      </w:r>
      <w:proofErr w:type="spellEnd"/>
      <w:r w:rsidRPr="00B42DC9">
        <w:rPr>
          <w:rFonts w:ascii="Arial" w:hAnsi="Arial" w:cs="Arial"/>
        </w:rPr>
        <w:t xml:space="preserve"> dan </w:t>
      </w:r>
      <w:proofErr w:type="spellStart"/>
      <w:r w:rsidRPr="00B42DC9">
        <w:rPr>
          <w:rFonts w:ascii="Arial" w:hAnsi="Arial" w:cs="Arial"/>
        </w:rPr>
        <w:t>roka</w:t>
      </w:r>
      <w:proofErr w:type="spellEnd"/>
      <w:r w:rsidRPr="00B42DC9">
        <w:rPr>
          <w:rFonts w:ascii="Arial" w:hAnsi="Arial" w:cs="Arial"/>
        </w:rPr>
        <w:t xml:space="preserve"> za </w:t>
      </w:r>
      <w:proofErr w:type="spellStart"/>
      <w:r w:rsidRPr="00B42DC9">
        <w:rPr>
          <w:rFonts w:ascii="Arial" w:hAnsi="Arial" w:cs="Arial"/>
        </w:rPr>
        <w:t>podnošenje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ponuda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kraći</w:t>
      </w:r>
      <w:proofErr w:type="spellEnd"/>
      <w:r w:rsidRPr="00B42DC9">
        <w:rPr>
          <w:rFonts w:ascii="Arial" w:hAnsi="Arial" w:cs="Arial"/>
        </w:rPr>
        <w:t xml:space="preserve"> od 24 </w:t>
      </w:r>
      <w:proofErr w:type="spellStart"/>
      <w:r w:rsidRPr="00B42DC9">
        <w:rPr>
          <w:rFonts w:ascii="Arial" w:hAnsi="Arial" w:cs="Arial"/>
        </w:rPr>
        <w:t>časa</w:t>
      </w:r>
      <w:proofErr w:type="spellEnd"/>
      <w:r w:rsidRPr="00B42DC9">
        <w:rPr>
          <w:rFonts w:ascii="Arial" w:hAnsi="Arial" w:cs="Arial"/>
        </w:rPr>
        <w:t xml:space="preserve">, </w:t>
      </w:r>
      <w:proofErr w:type="spellStart"/>
      <w:r w:rsidRPr="00B42DC9">
        <w:rPr>
          <w:rFonts w:ascii="Arial" w:hAnsi="Arial" w:cs="Arial"/>
        </w:rPr>
        <w:t>smatra</w:t>
      </w:r>
      <w:proofErr w:type="spellEnd"/>
      <w:r w:rsidRPr="00B42DC9">
        <w:rPr>
          <w:rFonts w:ascii="Arial" w:hAnsi="Arial" w:cs="Arial"/>
        </w:rPr>
        <w:t xml:space="preserve"> se da </w:t>
      </w:r>
      <w:proofErr w:type="spellStart"/>
      <w:r w:rsidRPr="00B42DC9">
        <w:rPr>
          <w:rFonts w:ascii="Arial" w:hAnsi="Arial" w:cs="Arial"/>
        </w:rPr>
        <w:t>rok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ističe</w:t>
      </w:r>
      <w:proofErr w:type="spellEnd"/>
      <w:r w:rsidRPr="00B42DC9">
        <w:rPr>
          <w:rFonts w:ascii="Arial" w:hAnsi="Arial" w:cs="Arial"/>
        </w:rPr>
        <w:t xml:space="preserve"> </w:t>
      </w:r>
      <w:proofErr w:type="spellStart"/>
      <w:r w:rsidRPr="00B42DC9">
        <w:rPr>
          <w:rFonts w:ascii="Arial" w:hAnsi="Arial" w:cs="Arial"/>
        </w:rPr>
        <w:t>istekom</w:t>
      </w:r>
      <w:proofErr w:type="spellEnd"/>
      <w:r w:rsidRPr="00B42DC9">
        <w:rPr>
          <w:rFonts w:ascii="Arial" w:hAnsi="Arial" w:cs="Arial"/>
        </w:rPr>
        <w:t xml:space="preserve"> tog dana.</w:t>
      </w:r>
    </w:p>
    <w:p w14:paraId="5D0BD1EF" w14:textId="77777777" w:rsidR="00007A05" w:rsidRPr="00B42DC9" w:rsidRDefault="00007A05" w:rsidP="00007A05">
      <w:pPr>
        <w:tabs>
          <w:tab w:val="left" w:pos="5760"/>
        </w:tabs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981A022" w14:textId="77777777" w:rsidR="00007A05" w:rsidRPr="00B42DC9" w:rsidRDefault="00007A05" w:rsidP="00007A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6CE8F7D0" w14:textId="77777777" w:rsidR="00007A05" w:rsidRPr="00B42DC9" w:rsidRDefault="00007A05" w:rsidP="00007A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077E0FF" w14:textId="77777777" w:rsidR="00007A05" w:rsidRPr="00B42DC9" w:rsidRDefault="00007A05" w:rsidP="00007A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highlight w:val="yellow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51FF68FB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E6B56ED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06F2919A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22C869B5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B42DC9">
          <w:rPr>
            <w:rStyle w:val="Hyperlink"/>
            <w:rFonts w:ascii="Arial" w:hAnsi="Arial" w:cs="Arial"/>
            <w:sz w:val="22"/>
            <w:szCs w:val="22"/>
            <w:lang w:val="sr-Latn-ME"/>
          </w:rPr>
          <w:t>http://www.kontrola-nabavki.me/</w:t>
        </w:r>
      </w:hyperlink>
      <w:r w:rsidRPr="00B42DC9">
        <w:rPr>
          <w:rFonts w:ascii="Arial" w:hAnsi="Arial" w:cs="Arial"/>
          <w:color w:val="000000"/>
          <w:sz w:val="22"/>
          <w:szCs w:val="22"/>
          <w:lang w:val="sr-Latn-ME"/>
        </w:rPr>
        <w:t>.“.</w:t>
      </w:r>
    </w:p>
    <w:p w14:paraId="7D8C1765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026A8B4F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4C6F14DD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5C8040D8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F449827" w14:textId="77777777" w:rsidR="00007A05" w:rsidRPr="00B42DC9" w:rsidRDefault="00007A05" w:rsidP="00007A05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sz w:val="22"/>
          <w:szCs w:val="22"/>
          <w:lang w:val="sr-Latn-ME"/>
        </w:rPr>
      </w:pPr>
    </w:p>
    <w:p w14:paraId="3EA596E8" w14:textId="77777777" w:rsidR="00241089" w:rsidRPr="00B42DC9" w:rsidRDefault="00241089">
      <w:pPr>
        <w:rPr>
          <w:rFonts w:ascii="Arial" w:hAnsi="Arial" w:cs="Arial"/>
          <w:sz w:val="22"/>
          <w:szCs w:val="22"/>
        </w:rPr>
      </w:pPr>
    </w:p>
    <w:sectPr w:rsidR="00241089" w:rsidRPr="00B42D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E4E2A" w14:textId="77777777" w:rsidR="002F0E05" w:rsidRDefault="002F0E05" w:rsidP="00007A05">
      <w:r>
        <w:separator/>
      </w:r>
    </w:p>
  </w:endnote>
  <w:endnote w:type="continuationSeparator" w:id="0">
    <w:p w14:paraId="6A914F54" w14:textId="77777777" w:rsidR="002F0E05" w:rsidRDefault="002F0E05" w:rsidP="0000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anti Win95BT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111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3EF14" w14:textId="197E65C8" w:rsidR="00D71BC6" w:rsidRDefault="00D71B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od 13</w:t>
        </w:r>
      </w:p>
    </w:sdtContent>
  </w:sdt>
  <w:p w14:paraId="24292EB0" w14:textId="77777777" w:rsidR="00D71BC6" w:rsidRDefault="00D71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3715F" w14:textId="77777777" w:rsidR="002F0E05" w:rsidRDefault="002F0E05" w:rsidP="00007A05">
      <w:r>
        <w:separator/>
      </w:r>
    </w:p>
  </w:footnote>
  <w:footnote w:type="continuationSeparator" w:id="0">
    <w:p w14:paraId="70507749" w14:textId="77777777" w:rsidR="002F0E05" w:rsidRDefault="002F0E05" w:rsidP="00007A05">
      <w:r>
        <w:continuationSeparator/>
      </w:r>
    </w:p>
  </w:footnote>
  <w:footnote w:id="1">
    <w:p w14:paraId="458DE968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r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7040216E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674F7351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r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6E07DC17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3E934D40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3407637F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1A80D169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099D1089" w14:textId="77777777" w:rsidR="00007A05" w:rsidRDefault="00007A05" w:rsidP="00007A05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9">
    <w:p w14:paraId="5565890F" w14:textId="77777777" w:rsidR="00007A05" w:rsidRDefault="00007A05" w:rsidP="00007A05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zaključivanje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iznos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procijenjene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vrijednosti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predmeta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javne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trajanja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okvirnog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14:paraId="3347E6AE" w14:textId="77777777" w:rsidR="00007A05" w:rsidRDefault="00007A05" w:rsidP="00007A05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7205C8"/>
    <w:multiLevelType w:val="hybridMultilevel"/>
    <w:tmpl w:val="19403368"/>
    <w:lvl w:ilvl="0" w:tplc="F8B24A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4A32A65"/>
    <w:multiLevelType w:val="multilevel"/>
    <w:tmpl w:val="EF32F1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171A5"/>
    <w:multiLevelType w:val="hybridMultilevel"/>
    <w:tmpl w:val="31ACE2E2"/>
    <w:lvl w:ilvl="0" w:tplc="F8B24A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B3901"/>
    <w:multiLevelType w:val="hybridMultilevel"/>
    <w:tmpl w:val="41A6F022"/>
    <w:lvl w:ilvl="0" w:tplc="AC0E209E">
      <w:numFmt w:val="bullet"/>
      <w:lvlText w:val="•"/>
      <w:lvlJc w:val="left"/>
      <w:pPr>
        <w:ind w:left="1080" w:hanging="360"/>
      </w:pPr>
      <w:rPr>
        <w:rFonts w:ascii="Chianti Win95BT" w:eastAsia="Calibri" w:hAnsi="Chianti Win95BT" w:cs="Arial" w:hint="default"/>
      </w:rPr>
    </w:lvl>
    <w:lvl w:ilvl="1" w:tplc="EA46427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B737C4"/>
    <w:multiLevelType w:val="hybridMultilevel"/>
    <w:tmpl w:val="446E9510"/>
    <w:lvl w:ilvl="0" w:tplc="F8B24A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AC0E209E">
      <w:numFmt w:val="bullet"/>
      <w:lvlText w:val="•"/>
      <w:lvlJc w:val="left"/>
      <w:pPr>
        <w:ind w:left="1440" w:hanging="360"/>
      </w:pPr>
      <w:rPr>
        <w:rFonts w:ascii="Chianti Win95BT" w:eastAsia="Calibri" w:hAnsi="Chianti Win95BT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89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42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635344">
    <w:abstractNumId w:val="7"/>
  </w:num>
  <w:num w:numId="4" w16cid:durableId="704329913">
    <w:abstractNumId w:val="8"/>
  </w:num>
  <w:num w:numId="5" w16cid:durableId="2088863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056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324836">
    <w:abstractNumId w:val="10"/>
  </w:num>
  <w:num w:numId="8" w16cid:durableId="1885367119">
    <w:abstractNumId w:val="5"/>
  </w:num>
  <w:num w:numId="9" w16cid:durableId="1157958400">
    <w:abstractNumId w:val="4"/>
  </w:num>
  <w:num w:numId="10" w16cid:durableId="888104444">
    <w:abstractNumId w:val="3"/>
  </w:num>
  <w:num w:numId="11" w16cid:durableId="668947117">
    <w:abstractNumId w:val="13"/>
  </w:num>
  <w:num w:numId="12" w16cid:durableId="1237320592">
    <w:abstractNumId w:val="12"/>
  </w:num>
  <w:num w:numId="13" w16cid:durableId="1776368672">
    <w:abstractNumId w:val="1"/>
  </w:num>
  <w:num w:numId="14" w16cid:durableId="736170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9A"/>
    <w:rsid w:val="00005982"/>
    <w:rsid w:val="00007A05"/>
    <w:rsid w:val="000B0B93"/>
    <w:rsid w:val="00241089"/>
    <w:rsid w:val="00243036"/>
    <w:rsid w:val="002F0E05"/>
    <w:rsid w:val="00403489"/>
    <w:rsid w:val="00501A63"/>
    <w:rsid w:val="005E7BF1"/>
    <w:rsid w:val="007A5B5F"/>
    <w:rsid w:val="007F78F2"/>
    <w:rsid w:val="009204E7"/>
    <w:rsid w:val="009A679A"/>
    <w:rsid w:val="00A31E3C"/>
    <w:rsid w:val="00A36E9D"/>
    <w:rsid w:val="00A370E5"/>
    <w:rsid w:val="00A50FD0"/>
    <w:rsid w:val="00B11129"/>
    <w:rsid w:val="00B42DC9"/>
    <w:rsid w:val="00D71BC6"/>
    <w:rsid w:val="00DF6A0E"/>
    <w:rsid w:val="00E576F1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0163"/>
  <w15:chartTrackingRefBased/>
  <w15:docId w15:val="{47576E20-D521-421B-978D-B82F77CE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7A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A0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A0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T30X">
    <w:name w:val="T30X"/>
    <w:basedOn w:val="Normal"/>
    <w:uiPriority w:val="99"/>
    <w:rsid w:val="00007A05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007A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2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B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1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B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Ljiljanic</dc:creator>
  <cp:keywords/>
  <dc:description/>
  <cp:lastModifiedBy>Ljiljana Ljiljanic</cp:lastModifiedBy>
  <cp:revision>12</cp:revision>
  <dcterms:created xsi:type="dcterms:W3CDTF">2024-04-21T11:05:00Z</dcterms:created>
  <dcterms:modified xsi:type="dcterms:W3CDTF">2024-04-23T06:02:00Z</dcterms:modified>
</cp:coreProperties>
</file>