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4E" w:rsidRPr="00DB5D95" w:rsidRDefault="00E31E4E" w:rsidP="00E31E4E">
      <w:pPr>
        <w:rPr>
          <w:rFonts w:ascii="Arial Narrow" w:eastAsia="Arial Unicode MS" w:hAnsi="Arial Narrow"/>
          <w:b/>
          <w:bCs/>
          <w:lang w:val="sr-Latn-ME"/>
        </w:rPr>
      </w:pPr>
      <w:r w:rsidRPr="00DB5D95">
        <w:rPr>
          <w:rFonts w:ascii="Arial Narrow" w:hAnsi="Arial Narrow"/>
          <w:noProof/>
        </w:rPr>
        <w:drawing>
          <wp:inline distT="0" distB="0" distL="0" distR="0" wp14:anchorId="01DCBD32" wp14:editId="0C52D77F">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3076D9" w:rsidRPr="00D601F7" w:rsidRDefault="00F83BC2" w:rsidP="00592530">
      <w:pPr>
        <w:keepNext/>
        <w:outlineLvl w:val="1"/>
        <w:rPr>
          <w:b/>
          <w:bCs/>
          <w:lang w:val="sr-Latn-ME"/>
        </w:rPr>
      </w:pPr>
      <w:r w:rsidRPr="00D601F7">
        <w:rPr>
          <w:b/>
          <w:bCs/>
          <w:lang w:val="sr-Latn-ME"/>
        </w:rPr>
        <w:t>Broj: 60-00</w:t>
      </w:r>
      <w:r w:rsidR="000B6303">
        <w:rPr>
          <w:b/>
          <w:bCs/>
          <w:lang w:val="sr-Latn-ME"/>
        </w:rPr>
        <w:t>-</w:t>
      </w:r>
      <w:r w:rsidR="00F529C7">
        <w:rPr>
          <w:b/>
          <w:bCs/>
          <w:lang w:val="sr-Latn-ME"/>
        </w:rPr>
        <w:t>5891</w:t>
      </w:r>
    </w:p>
    <w:p w:rsidR="00E31E4E" w:rsidRPr="00EE204A" w:rsidRDefault="00150423" w:rsidP="00592530">
      <w:pPr>
        <w:keepNext/>
        <w:outlineLvl w:val="1"/>
        <w:rPr>
          <w:b/>
          <w:bCs/>
          <w:lang w:val="sr-Latn-ME"/>
        </w:rPr>
      </w:pPr>
      <w:r w:rsidRPr="00D601F7">
        <w:rPr>
          <w:b/>
          <w:bCs/>
          <w:lang w:val="sr-Latn-ME"/>
        </w:rPr>
        <w:t xml:space="preserve">Podgorica, </w:t>
      </w:r>
      <w:r w:rsidR="00FF079D">
        <w:rPr>
          <w:b/>
          <w:bCs/>
          <w:lang w:val="sr-Latn-ME"/>
        </w:rPr>
        <w:t>28</w:t>
      </w:r>
      <w:r w:rsidR="00D649BC">
        <w:rPr>
          <w:b/>
          <w:bCs/>
          <w:lang w:val="sr-Latn-ME"/>
        </w:rPr>
        <w:t>.</w:t>
      </w:r>
      <w:r w:rsidR="00FF079D">
        <w:rPr>
          <w:b/>
          <w:bCs/>
          <w:lang w:val="sr-Latn-ME"/>
        </w:rPr>
        <w:t>02</w:t>
      </w:r>
      <w:r w:rsidR="00D649BC">
        <w:rPr>
          <w:b/>
          <w:bCs/>
          <w:lang w:val="sr-Latn-ME"/>
        </w:rPr>
        <w:t>.</w:t>
      </w:r>
      <w:r w:rsidR="00E31E4E" w:rsidRPr="00D601F7">
        <w:rPr>
          <w:b/>
          <w:bCs/>
          <w:lang w:val="sr-Latn-ME"/>
        </w:rPr>
        <w:t>202</w:t>
      </w:r>
      <w:r w:rsidR="007148DD">
        <w:rPr>
          <w:b/>
          <w:bCs/>
          <w:lang w:val="sr-Latn-ME"/>
        </w:rPr>
        <w:t>5</w:t>
      </w:r>
      <w:r w:rsidR="00E31E4E" w:rsidRPr="00D601F7">
        <w:rPr>
          <w:b/>
          <w:bCs/>
          <w:lang w:val="sr-Latn-ME"/>
        </w:rPr>
        <w:t>. godine</w:t>
      </w:r>
    </w:p>
    <w:p w:rsidR="00E31E4E" w:rsidRPr="00EE204A" w:rsidRDefault="00E31E4E" w:rsidP="00E31E4E">
      <w:pPr>
        <w:rPr>
          <w:b/>
          <w:bCs/>
          <w:lang w:val="sr-Latn-ME"/>
        </w:rPr>
      </w:pPr>
    </w:p>
    <w:p w:rsidR="00E31E4E" w:rsidRPr="00DB7C74" w:rsidRDefault="00E31E4E" w:rsidP="00E31E4E">
      <w:pPr>
        <w:rPr>
          <w:color w:val="000000"/>
          <w:sz w:val="14"/>
        </w:rPr>
      </w:pPr>
    </w:p>
    <w:p w:rsidR="00E31E4E" w:rsidRPr="00863723" w:rsidRDefault="005C4964" w:rsidP="00E31E4E">
      <w:pPr>
        <w:tabs>
          <w:tab w:val="left" w:pos="3750"/>
        </w:tabs>
        <w:jc w:val="both"/>
        <w:outlineLvl w:val="0"/>
      </w:pPr>
      <w:r w:rsidRPr="00863723">
        <w:t xml:space="preserve">Na osnovu člana 94 Zakona o javnim nabavkama </w:t>
      </w:r>
      <w:r w:rsidR="0061064C" w:rsidRPr="00863723">
        <w:t>("Službeni list Crne Gore", br. 074/19 od 30.12.2019, 003/23 od 10.01.2023, 011/23 od 27.01.2023</w:t>
      </w:r>
      <w:r w:rsidR="00AE21C8">
        <w:t>, 84/24 od 06.09.2024</w:t>
      </w:r>
      <w:r w:rsidR="0061064C" w:rsidRPr="00863723">
        <w:t>)</w:t>
      </w:r>
      <w:r w:rsidR="00E31E4E" w:rsidRPr="00863723">
        <w:t xml:space="preserve">, CEDIS d.o.o Podgorica donosi sljedeću  </w:t>
      </w:r>
    </w:p>
    <w:p w:rsidR="004E52E1" w:rsidRPr="00863723" w:rsidRDefault="004E52E1" w:rsidP="00E31E4E">
      <w:pPr>
        <w:tabs>
          <w:tab w:val="left" w:pos="3750"/>
        </w:tabs>
        <w:jc w:val="both"/>
        <w:outlineLvl w:val="0"/>
      </w:pPr>
    </w:p>
    <w:p w:rsidR="00E31E4E" w:rsidRPr="00863723" w:rsidRDefault="00E31E4E" w:rsidP="00E31E4E">
      <w:pPr>
        <w:tabs>
          <w:tab w:val="left" w:pos="3750"/>
        </w:tabs>
        <w:jc w:val="center"/>
        <w:outlineLvl w:val="0"/>
        <w:rPr>
          <w:b/>
        </w:rPr>
      </w:pPr>
      <w:r w:rsidRPr="00863723">
        <w:rPr>
          <w:b/>
        </w:rPr>
        <w:t>IZMJENU</w:t>
      </w:r>
      <w:r w:rsidR="00870975" w:rsidRPr="00863723">
        <w:rPr>
          <w:b/>
        </w:rPr>
        <w:t xml:space="preserve"> I DOPUNU</w:t>
      </w:r>
    </w:p>
    <w:p w:rsidR="004E52E1" w:rsidRPr="00863723" w:rsidRDefault="004E52E1" w:rsidP="00E31E4E">
      <w:pPr>
        <w:rPr>
          <w:b/>
          <w:color w:val="000000"/>
        </w:rPr>
      </w:pPr>
    </w:p>
    <w:p w:rsidR="00E00C6D" w:rsidRPr="00E129AA" w:rsidRDefault="00E31E4E" w:rsidP="00E129AA">
      <w:pPr>
        <w:jc w:val="both"/>
        <w:rPr>
          <w:b/>
          <w:color w:val="000000" w:themeColor="text1"/>
          <w:lang w:val="sr-Latn-ME"/>
        </w:rPr>
      </w:pPr>
      <w:r w:rsidRPr="00E129AA">
        <w:t xml:space="preserve">Tenderske dokumentacije </w:t>
      </w:r>
      <w:r w:rsidR="003E4761" w:rsidRPr="00E129AA">
        <w:rPr>
          <w:b/>
          <w:color w:val="000000" w:themeColor="text1"/>
          <w:lang w:val="sr-Latn-ME"/>
        </w:rPr>
        <w:t xml:space="preserve">br. </w:t>
      </w:r>
      <w:r w:rsidR="00FF079D">
        <w:rPr>
          <w:b/>
          <w:color w:val="000000" w:themeColor="text1"/>
          <w:lang w:val="sr-Latn-ME"/>
        </w:rPr>
        <w:t>13/25</w:t>
      </w:r>
      <w:r w:rsidR="00FB07D1" w:rsidRPr="00E129AA">
        <w:rPr>
          <w:color w:val="000000"/>
          <w:lang w:val="sr-Latn-ME"/>
        </w:rPr>
        <w:t xml:space="preserve"> </w:t>
      </w:r>
      <w:r w:rsidR="00FB07D1" w:rsidRPr="00E129AA">
        <w:rPr>
          <w:b/>
          <w:color w:val="000000" w:themeColor="text1"/>
          <w:lang w:val="sr-Latn-ME"/>
        </w:rPr>
        <w:t xml:space="preserve">od </w:t>
      </w:r>
      <w:r w:rsidR="00EE601B">
        <w:rPr>
          <w:b/>
          <w:lang w:val="sr-Latn-ME"/>
        </w:rPr>
        <w:t>19</w:t>
      </w:r>
      <w:bookmarkStart w:id="0" w:name="_GoBack"/>
      <w:bookmarkEnd w:id="0"/>
      <w:r w:rsidR="00FF079D">
        <w:rPr>
          <w:b/>
          <w:lang w:val="sr-Latn-ME"/>
        </w:rPr>
        <w:t>.02.2025</w:t>
      </w:r>
      <w:r w:rsidR="00FB07D1" w:rsidRPr="00E129AA">
        <w:rPr>
          <w:b/>
          <w:lang w:val="sr-Latn-ME"/>
        </w:rPr>
        <w:t>. godine</w:t>
      </w:r>
      <w:r w:rsidR="00FB07D1" w:rsidRPr="00E129AA">
        <w:rPr>
          <w:b/>
          <w:color w:val="000000" w:themeColor="text1"/>
          <w:lang w:val="sr-Latn-ME"/>
        </w:rPr>
        <w:t xml:space="preserve"> – </w:t>
      </w:r>
      <w:r w:rsidR="00FB07D1" w:rsidRPr="002A6C67">
        <w:rPr>
          <w:color w:val="000000" w:themeColor="text1"/>
          <w:lang w:val="sr-Latn-ME"/>
        </w:rPr>
        <w:t>za otvore</w:t>
      </w:r>
      <w:r w:rsidR="003E4761" w:rsidRPr="002A6C67">
        <w:rPr>
          <w:color w:val="000000" w:themeColor="text1"/>
          <w:lang w:val="sr-Latn-ME"/>
        </w:rPr>
        <w:t xml:space="preserve">ni postupak javne nabavke </w:t>
      </w:r>
      <w:r w:rsidR="000E0937" w:rsidRPr="0049539C">
        <w:rPr>
          <w:color w:val="000000" w:themeColor="text1"/>
          <w:lang w:val="sr-Latn-ME"/>
        </w:rPr>
        <w:t>r</w:t>
      </w:r>
      <w:r w:rsidR="00D649BC">
        <w:rPr>
          <w:color w:val="000000" w:themeColor="text1"/>
          <w:lang w:val="sr-Latn-ME"/>
        </w:rPr>
        <w:t>adova</w:t>
      </w:r>
      <w:r w:rsidR="00FB07D1" w:rsidRPr="00E129AA">
        <w:rPr>
          <w:b/>
          <w:color w:val="000000" w:themeColor="text1"/>
          <w:lang w:val="sr-Latn-ME"/>
        </w:rPr>
        <w:t xml:space="preserve"> –</w:t>
      </w:r>
      <w:r w:rsidR="00FB07D1" w:rsidRPr="00E129AA">
        <w:rPr>
          <w:rFonts w:eastAsia="Calibri"/>
          <w:b/>
        </w:rPr>
        <w:t xml:space="preserve"> </w:t>
      </w:r>
      <w:r w:rsidR="00FF079D" w:rsidRPr="00FF079D">
        <w:rPr>
          <w:b/>
        </w:rPr>
        <w:t xml:space="preserve">13/25 NDTS 10/0,4 KV, 2 X 630 KVA "TRGOMEN - NOVA" SA UKLAPANJEM U 10 KV MREŽU, KO BANDIĆI </w:t>
      </w:r>
      <w:r w:rsidR="00FF079D">
        <w:rPr>
          <w:b/>
        </w:rPr>
        <w:t>–</w:t>
      </w:r>
      <w:r w:rsidR="00FF079D" w:rsidRPr="00FF079D">
        <w:rPr>
          <w:b/>
        </w:rPr>
        <w:t xml:space="preserve"> DANILOVGRAD</w:t>
      </w:r>
      <w:r w:rsidR="00FF079D">
        <w:rPr>
          <w:b/>
        </w:rPr>
        <w:t>.</w:t>
      </w:r>
    </w:p>
    <w:p w:rsidR="0016791D" w:rsidRDefault="0016791D" w:rsidP="0016791D">
      <w:pPr>
        <w:jc w:val="both"/>
      </w:pPr>
    </w:p>
    <w:p w:rsidR="00A810AB" w:rsidRPr="00A810AB" w:rsidRDefault="00A810AB" w:rsidP="00A810AB">
      <w:pPr>
        <w:pStyle w:val="Heading3"/>
        <w:shd w:val="clear" w:color="auto" w:fill="FFFFFF"/>
        <w:spacing w:before="96"/>
        <w:jc w:val="both"/>
        <w:rPr>
          <w:rFonts w:ascii="Times New Roman" w:eastAsia="Times New Roman" w:hAnsi="Times New Roman" w:cs="Times New Roman"/>
          <w:bCs/>
          <w:color w:val="auto"/>
        </w:rPr>
      </w:pPr>
      <w:r w:rsidRPr="00A810AB">
        <w:rPr>
          <w:rFonts w:ascii="Times New Roman" w:eastAsia="Calibri" w:hAnsi="Times New Roman" w:cs="Times New Roman"/>
          <w:b/>
          <w:color w:val="000000"/>
        </w:rPr>
        <w:t>1.</w:t>
      </w:r>
      <w:r w:rsidR="00D40A7A">
        <w:rPr>
          <w:rFonts w:ascii="Times New Roman" w:eastAsia="Calibri" w:hAnsi="Times New Roman" w:cs="Times New Roman"/>
          <w:color w:val="000000"/>
        </w:rPr>
        <w:t xml:space="preserve"> </w:t>
      </w:r>
      <w:r w:rsidR="00D40A7A" w:rsidRPr="00252D80">
        <w:rPr>
          <w:rFonts w:ascii="Times New Roman" w:eastAsia="Calibri" w:hAnsi="Times New Roman" w:cs="Times New Roman"/>
          <w:color w:val="000000"/>
        </w:rPr>
        <w:t xml:space="preserve">Vrši se izmjena </w:t>
      </w:r>
      <w:r w:rsidR="00252D80">
        <w:rPr>
          <w:rFonts w:ascii="Times New Roman" w:eastAsia="Calibri" w:hAnsi="Times New Roman" w:cs="Times New Roman"/>
          <w:color w:val="000000"/>
        </w:rPr>
        <w:t xml:space="preserve">tenderske </w:t>
      </w:r>
      <w:r w:rsidR="00252D80" w:rsidRPr="00252D80">
        <w:rPr>
          <w:rFonts w:ascii="Times New Roman" w:eastAsia="Calibri" w:hAnsi="Times New Roman" w:cs="Times New Roman"/>
          <w:color w:val="000000"/>
        </w:rPr>
        <w:t>dokum</w:t>
      </w:r>
      <w:r w:rsidRPr="00252D80">
        <w:rPr>
          <w:rFonts w:ascii="Times New Roman" w:eastAsia="Calibri" w:hAnsi="Times New Roman" w:cs="Times New Roman"/>
          <w:color w:val="000000"/>
        </w:rPr>
        <w:t xml:space="preserve">entacije </w:t>
      </w:r>
      <w:r w:rsidR="00F45C9A" w:rsidRPr="00252D80">
        <w:rPr>
          <w:rFonts w:ascii="Times New Roman" w:eastAsia="Calibri" w:hAnsi="Times New Roman" w:cs="Times New Roman"/>
          <w:color w:val="000000"/>
        </w:rPr>
        <w:t xml:space="preserve">na portalu CEJN </w:t>
      </w:r>
      <w:r w:rsidR="00D649BC" w:rsidRPr="001F3844">
        <w:rPr>
          <w:rFonts w:ascii="Times New Roman" w:eastAsia="Calibri" w:hAnsi="Times New Roman" w:cs="Times New Roman"/>
          <w:color w:val="000000"/>
        </w:rPr>
        <w:t xml:space="preserve">na način što se u dijelu </w:t>
      </w:r>
      <w:r w:rsidR="00DA726C" w:rsidRPr="00DA726C">
        <w:rPr>
          <w:rFonts w:ascii="Times New Roman" w:eastAsia="Calibri" w:hAnsi="Times New Roman" w:cs="Times New Roman"/>
          <w:color w:val="000000"/>
        </w:rPr>
        <w:t>Tehnička specifikacija predmeta nabavke</w:t>
      </w:r>
      <w:r w:rsidR="00D649BC" w:rsidRPr="00DA726C">
        <w:rPr>
          <w:rFonts w:ascii="Times New Roman" w:eastAsia="Calibri" w:hAnsi="Times New Roman" w:cs="Times New Roman"/>
          <w:color w:val="000000"/>
        </w:rPr>
        <w:t xml:space="preserve"> </w:t>
      </w:r>
      <w:r w:rsidR="00DA726C">
        <w:rPr>
          <w:rFonts w:ascii="Times New Roman" w:eastAsia="Calibri" w:hAnsi="Times New Roman" w:cs="Times New Roman"/>
          <w:color w:val="000000"/>
        </w:rPr>
        <w:t xml:space="preserve">mijenja stavka </w:t>
      </w:r>
      <w:r w:rsidR="00FF079D">
        <w:rPr>
          <w:rFonts w:ascii="Times New Roman" w:eastAsia="Calibri" w:hAnsi="Times New Roman" w:cs="Times New Roman"/>
          <w:color w:val="000000"/>
        </w:rPr>
        <w:t>19</w:t>
      </w:r>
      <w:r w:rsidR="00D65BC7">
        <w:rPr>
          <w:rFonts w:ascii="Times New Roman" w:eastAsia="Calibri" w:hAnsi="Times New Roman" w:cs="Times New Roman"/>
          <w:color w:val="000000"/>
        </w:rPr>
        <w:t>:</w:t>
      </w:r>
    </w:p>
    <w:p w:rsidR="00A810AB" w:rsidRDefault="00A810AB" w:rsidP="00A810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629"/>
        <w:gridCol w:w="5040"/>
        <w:gridCol w:w="720"/>
        <w:gridCol w:w="990"/>
      </w:tblGrid>
      <w:tr w:rsidR="00FF079D" w:rsidTr="00FF079D">
        <w:trPr>
          <w:trHeight w:val="341"/>
        </w:trPr>
        <w:tc>
          <w:tcPr>
            <w:tcW w:w="616" w:type="dxa"/>
          </w:tcPr>
          <w:p w:rsidR="00FF079D" w:rsidRDefault="00B16AA2" w:rsidP="00DA726C">
            <w:pPr>
              <w:ind w:left="100"/>
              <w:jc w:val="both"/>
              <w:rPr>
                <w:rFonts w:eastAsia="Calibri"/>
                <w:lang w:val="pl-PL"/>
              </w:rPr>
            </w:pPr>
            <w:r>
              <w:rPr>
                <w:rFonts w:eastAsia="Calibri"/>
                <w:lang w:val="pl-PL"/>
              </w:rPr>
              <w:t>19</w:t>
            </w:r>
            <w:r w:rsidR="00FF079D">
              <w:rPr>
                <w:rFonts w:eastAsia="Calibri"/>
                <w:lang w:val="pl-PL"/>
              </w:rPr>
              <w:t>.</w:t>
            </w:r>
          </w:p>
        </w:tc>
        <w:tc>
          <w:tcPr>
            <w:tcW w:w="1629" w:type="dxa"/>
            <w:tcBorders>
              <w:bottom w:val="single" w:sz="4" w:space="0" w:color="auto"/>
            </w:tcBorders>
          </w:tcPr>
          <w:p w:rsidR="00FF079D" w:rsidRDefault="00FF079D" w:rsidP="00FF079D">
            <w:pPr>
              <w:ind w:left="75"/>
              <w:jc w:val="both"/>
              <w:rPr>
                <w:rFonts w:eastAsia="Calibri"/>
                <w:lang w:val="pl-PL"/>
              </w:rPr>
            </w:pPr>
            <w:r w:rsidRPr="00FF079D">
              <w:rPr>
                <w:rFonts w:eastAsia="Calibri"/>
                <w:lang w:val="pl-PL"/>
              </w:rPr>
              <w:t>NDTS 10/0,4kV 2x630kVA "Trgomen - Nova"-NN BLOK</w:t>
            </w:r>
          </w:p>
        </w:tc>
        <w:tc>
          <w:tcPr>
            <w:tcW w:w="5040" w:type="dxa"/>
            <w:tcBorders>
              <w:bottom w:val="single" w:sz="4" w:space="0" w:color="auto"/>
            </w:tcBorders>
          </w:tcPr>
          <w:p w:rsidR="00FF079D" w:rsidRPr="00DA726C" w:rsidRDefault="00FF079D" w:rsidP="00DA726C">
            <w:pPr>
              <w:jc w:val="both"/>
              <w:rPr>
                <w:rFonts w:eastAsia="Calibri"/>
                <w:lang w:val="pl-PL"/>
              </w:rPr>
            </w:pPr>
            <w:r w:rsidRPr="00FF079D">
              <w:rPr>
                <w:rFonts w:eastAsia="Calibri"/>
                <w:lang w:val="pl-PL"/>
              </w:rPr>
              <w:t xml:space="preserve">Nabavka, isporuka, transport i montaža niskonaponskog razvoda koji se sastoji od NN razvodnog bloka, smještenog u ormar, sa 0,4kV sabirnicama i elementima prema opisu. Blok je predviđen za pričvršćenje na pod prostorije. Izrađen je od lima, zaštićenog od korozije. Sklopni blok sadrži : -Tropolni zaštitni prekidač, 690V, 50Hz, nazivne struje1250A prekidne moći 50kA, Ics=100%Icu kom 1 -Mikroprocesorska jedinica za prekostrujnu I termomagnetnu zaštitu, sa ostalim funkcijama za mjerenje Micrologic 5.0X. kom 1 -Četvoropolni (4P) odvodnik prenapona, 440V, Imax(8/20ms)=20kA, In=15kA, Up=1.2kV kom 3 -Izolovani sklop osigurač- rastavljač kom 1 -Jednopolna preklopka bez nultog položaja, 690V, 20A kom 1 -Relej sa tri preklopna kontakta s tipkom i dvije signalne značke, sa podnožjem i sigurnosnom oprugom za nazivni napon 230V, 50Hz kom 2 -Strujni mjerni transformatori, 1000/5A, kl. 0.5, 10VA kom 3 -Taster emergency stop za slučaj potrebe nužnog-brzog isključenja kojim se isključuje energetski transformator na strani srednjeg napona. kom 1 -Kondenzatorske baterije 40kVAr, 40/48 kVAr, 400V, 50 HZ kom 1 -Spojni vod od osigurač-sklopke -Q9 (odvod br.9) do kondenzatorske baterije izvodi se sa sljedećom opremom: kabl PP00 4x50 mm2 m 3 -Pokositrena bakrena kompresijska kablovska stopica, za spoj kondenzatorske baterije i kabla PP00 4x50 mm2 - Cu 50, M10 kom 3 -Osiguračke pruge: Fupact ISFL 630A kom 2 Fupact ISFL </w:t>
            </w:r>
            <w:r w:rsidRPr="00FF079D">
              <w:rPr>
                <w:rFonts w:eastAsia="Calibri"/>
                <w:lang w:val="pl-PL"/>
              </w:rPr>
              <w:lastRenderedPageBreak/>
              <w:t>400A kom 6 Fupact ISFL 160A kom 2 -Utičnica 220V, 16A kom 1 -Svjetiljka sa prekidačem linestra kom 1 -Epoksidni potporni izolatori za sabirnice 1kV kom 24 -Ostali sitni i nespecificirani materijal pauš 1</w:t>
            </w:r>
          </w:p>
        </w:tc>
        <w:tc>
          <w:tcPr>
            <w:tcW w:w="720" w:type="dxa"/>
            <w:tcBorders>
              <w:bottom w:val="single" w:sz="4" w:space="0" w:color="auto"/>
            </w:tcBorders>
          </w:tcPr>
          <w:p w:rsidR="00FF079D" w:rsidRDefault="00B16AA2" w:rsidP="00DA726C">
            <w:pPr>
              <w:jc w:val="both"/>
              <w:rPr>
                <w:rFonts w:eastAsia="Calibri"/>
                <w:lang w:val="pl-PL"/>
              </w:rPr>
            </w:pPr>
            <w:r>
              <w:rPr>
                <w:rFonts w:eastAsia="Calibri"/>
                <w:lang w:val="pl-PL"/>
              </w:rPr>
              <w:lastRenderedPageBreak/>
              <w:t>1</w:t>
            </w:r>
            <w:r w:rsidR="00FF079D" w:rsidRPr="00DA726C">
              <w:rPr>
                <w:rFonts w:eastAsia="Calibri"/>
                <w:lang w:val="pl-PL"/>
              </w:rPr>
              <w:t xml:space="preserve"> </w:t>
            </w:r>
          </w:p>
        </w:tc>
        <w:tc>
          <w:tcPr>
            <w:tcW w:w="990" w:type="dxa"/>
            <w:tcBorders>
              <w:bottom w:val="single" w:sz="4" w:space="0" w:color="auto"/>
            </w:tcBorders>
          </w:tcPr>
          <w:p w:rsidR="00FF079D" w:rsidRDefault="00B16AA2" w:rsidP="00DA726C">
            <w:pPr>
              <w:rPr>
                <w:rFonts w:eastAsia="Calibri"/>
                <w:lang w:val="pl-PL"/>
              </w:rPr>
            </w:pPr>
            <w:r>
              <w:rPr>
                <w:rFonts w:eastAsia="Calibri"/>
                <w:lang w:val="pl-PL"/>
              </w:rPr>
              <w:t>kom</w:t>
            </w:r>
          </w:p>
        </w:tc>
      </w:tr>
    </w:tbl>
    <w:p w:rsidR="00DA726C" w:rsidRDefault="00DA726C" w:rsidP="00D65BC7">
      <w:pPr>
        <w:jc w:val="both"/>
        <w:rPr>
          <w:rFonts w:eastAsia="Calibri"/>
          <w:lang w:val="pl-PL"/>
        </w:rPr>
      </w:pPr>
    </w:p>
    <w:p w:rsidR="00DA726C" w:rsidRDefault="00DA726C" w:rsidP="00D65BC7">
      <w:pPr>
        <w:jc w:val="both"/>
        <w:rPr>
          <w:rFonts w:eastAsia="Calibri"/>
          <w:lang w:val="pl-PL"/>
        </w:rPr>
      </w:pPr>
      <w:r>
        <w:rPr>
          <w:rFonts w:eastAsia="Calibri"/>
          <w:lang w:val="pl-PL"/>
        </w:rPr>
        <w:t>Pa sada glasi:</w:t>
      </w:r>
    </w:p>
    <w:p w:rsidR="00DA726C" w:rsidRDefault="00DA726C" w:rsidP="00D65BC7">
      <w:pPr>
        <w:jc w:val="both"/>
        <w:rPr>
          <w:rFonts w:eastAsia="Calibri"/>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629"/>
        <w:gridCol w:w="5040"/>
        <w:gridCol w:w="720"/>
        <w:gridCol w:w="990"/>
      </w:tblGrid>
      <w:tr w:rsidR="00B16AA2" w:rsidTr="0063723A">
        <w:trPr>
          <w:trHeight w:val="341"/>
        </w:trPr>
        <w:tc>
          <w:tcPr>
            <w:tcW w:w="616" w:type="dxa"/>
          </w:tcPr>
          <w:p w:rsidR="00B16AA2" w:rsidRDefault="00B16AA2" w:rsidP="0063723A">
            <w:pPr>
              <w:ind w:left="100"/>
              <w:jc w:val="both"/>
              <w:rPr>
                <w:rFonts w:eastAsia="Calibri"/>
                <w:lang w:val="pl-PL"/>
              </w:rPr>
            </w:pPr>
            <w:r>
              <w:rPr>
                <w:rFonts w:eastAsia="Calibri"/>
                <w:lang w:val="pl-PL"/>
              </w:rPr>
              <w:t>19.</w:t>
            </w:r>
          </w:p>
        </w:tc>
        <w:tc>
          <w:tcPr>
            <w:tcW w:w="1629" w:type="dxa"/>
            <w:tcBorders>
              <w:bottom w:val="single" w:sz="4" w:space="0" w:color="auto"/>
            </w:tcBorders>
          </w:tcPr>
          <w:p w:rsidR="00B16AA2" w:rsidRDefault="00B16AA2" w:rsidP="0063723A">
            <w:pPr>
              <w:ind w:left="75"/>
              <w:jc w:val="both"/>
              <w:rPr>
                <w:rFonts w:eastAsia="Calibri"/>
                <w:lang w:val="pl-PL"/>
              </w:rPr>
            </w:pPr>
            <w:r w:rsidRPr="00FF079D">
              <w:rPr>
                <w:rFonts w:eastAsia="Calibri"/>
                <w:lang w:val="pl-PL"/>
              </w:rPr>
              <w:t>NDTS 10/0,4kV 2x630kVA "Trgomen - Nova"-NN BLOK</w:t>
            </w:r>
          </w:p>
        </w:tc>
        <w:tc>
          <w:tcPr>
            <w:tcW w:w="5040" w:type="dxa"/>
            <w:tcBorders>
              <w:bottom w:val="single" w:sz="4" w:space="0" w:color="auto"/>
            </w:tcBorders>
          </w:tcPr>
          <w:p w:rsidR="00B16AA2" w:rsidRPr="00DA726C" w:rsidRDefault="00B16AA2" w:rsidP="0063723A">
            <w:pPr>
              <w:jc w:val="both"/>
              <w:rPr>
                <w:rFonts w:eastAsia="Calibri"/>
                <w:lang w:val="pl-PL"/>
              </w:rPr>
            </w:pPr>
            <w:r w:rsidRPr="00B16AA2">
              <w:rPr>
                <w:rFonts w:eastAsia="Calibri"/>
                <w:lang w:val="pl-PL"/>
              </w:rPr>
              <w:t>Nabavka, isporuka, transport i montaža niskonaponskog razvoda koji se sastoji od NN razvodnog bloka, smještenog u ormar, sa 0,4kV sabirnicama i elementima prema opisu. Blok je predviđen za pričvršćenje na pod prostorije. Izrađen je od lima, zaštićenog od korozije. Sklopni blok sadrži : -Tropolni zaštitni prekidač, 690V, 50Hz, nazivne struje1250A prekidne moći 50kA, Ics=100%Icu kom 1 -Mikroprocesorska jedinica za prekostrujnu I termomagnetnu zaštitu, sa ostalim funkcijama za mjerenje kom 1 -Četvoropolni (4P) odvodnik prenapona, 440V, Imax(8/20ms)=20kA, In=15kA, Up=1.2kV kom 1 -Izolovani sklop osigurač- rastavljač kom 1 -Jednopolna preklopka bez nultog položaja, 690V, 20A kom 1 -Relej sa tri preklopna kontakta s tipkom i dvije signalne značke, sa podnožjem i sigurnosnom oprugom za nazivni napon 230V, 50Hz kom 2 -Strujni mjerni transformatori, 1000/5A, kl. 0.5, 10VA kom 6 -Taster emergency stop za slučaj potrebe nužnog-brzog isključenja kojim se isključuje energetski transformator na strani srednjeg napona. kom 1 -Kondenzatorske baterije 40kVAr, 40/48 kVAr, 400V, 50 HZ kom 1 -Spojni vod od osigurač-sklopke -Q9 (odvod br.9) do kondenzatorske baterije izvodi se sa sljedećom opremom: kabl PP00 4x50 mm2 m 3 -Pokositrena bakrena kompresijska kablovska stopica, za spoj kondenzatorske baterije i kabla PP00 4x50 mm2 - Cu 50, M10 kom 3 -Osiguračke pruge: 630A kom 2; 400A kom 6; 160A kom 2. Utičnica 220V, 16A kom 1 -Svjetiljka sa prekidačem linestra kom 1 -Epoksidni potporni izolatori za sabirnice 1kV kom 24 -Ostali sitni i nespecificirani materijal pauš 1</w:t>
            </w:r>
          </w:p>
        </w:tc>
        <w:tc>
          <w:tcPr>
            <w:tcW w:w="720" w:type="dxa"/>
            <w:tcBorders>
              <w:bottom w:val="single" w:sz="4" w:space="0" w:color="auto"/>
            </w:tcBorders>
          </w:tcPr>
          <w:p w:rsidR="00B16AA2" w:rsidRDefault="00B16AA2" w:rsidP="0063723A">
            <w:pPr>
              <w:jc w:val="both"/>
              <w:rPr>
                <w:rFonts w:eastAsia="Calibri"/>
                <w:lang w:val="pl-PL"/>
              </w:rPr>
            </w:pPr>
            <w:r>
              <w:rPr>
                <w:rFonts w:eastAsia="Calibri"/>
                <w:lang w:val="pl-PL"/>
              </w:rPr>
              <w:t>1</w:t>
            </w:r>
            <w:r w:rsidRPr="00DA726C">
              <w:rPr>
                <w:rFonts w:eastAsia="Calibri"/>
                <w:lang w:val="pl-PL"/>
              </w:rPr>
              <w:t xml:space="preserve"> </w:t>
            </w:r>
          </w:p>
        </w:tc>
        <w:tc>
          <w:tcPr>
            <w:tcW w:w="990" w:type="dxa"/>
            <w:tcBorders>
              <w:bottom w:val="single" w:sz="4" w:space="0" w:color="auto"/>
            </w:tcBorders>
          </w:tcPr>
          <w:p w:rsidR="00B16AA2" w:rsidRDefault="00B16AA2" w:rsidP="0063723A">
            <w:pPr>
              <w:rPr>
                <w:rFonts w:eastAsia="Calibri"/>
                <w:lang w:val="pl-PL"/>
              </w:rPr>
            </w:pPr>
            <w:r>
              <w:rPr>
                <w:rFonts w:eastAsia="Calibri"/>
                <w:lang w:val="pl-PL"/>
              </w:rPr>
              <w:t>kom</w:t>
            </w:r>
          </w:p>
        </w:tc>
      </w:tr>
    </w:tbl>
    <w:p w:rsidR="00560D22" w:rsidRDefault="00560D22" w:rsidP="00D65BC7"/>
    <w:p w:rsidR="00B16AA2" w:rsidRDefault="00B16AA2" w:rsidP="00B16AA2">
      <w:pPr>
        <w:pStyle w:val="Heading3"/>
        <w:shd w:val="clear" w:color="auto" w:fill="FFFFFF"/>
        <w:spacing w:before="96"/>
        <w:jc w:val="both"/>
        <w:rPr>
          <w:rFonts w:ascii="Times New Roman" w:eastAsia="Calibri" w:hAnsi="Times New Roman" w:cs="Times New Roman"/>
          <w:color w:val="000000"/>
        </w:rPr>
      </w:pPr>
      <w:r>
        <w:rPr>
          <w:rFonts w:ascii="Times New Roman" w:eastAsia="Calibri" w:hAnsi="Times New Roman" w:cs="Times New Roman"/>
          <w:b/>
          <w:color w:val="000000"/>
        </w:rPr>
        <w:t>2</w:t>
      </w:r>
      <w:r w:rsidRPr="00A810AB">
        <w:rPr>
          <w:rFonts w:ascii="Times New Roman" w:eastAsia="Calibri" w:hAnsi="Times New Roman" w:cs="Times New Roman"/>
          <w:b/>
          <w:color w:val="000000"/>
        </w:rPr>
        <w:t>.</w:t>
      </w:r>
      <w:r>
        <w:rPr>
          <w:rFonts w:ascii="Times New Roman" w:eastAsia="Calibri" w:hAnsi="Times New Roman" w:cs="Times New Roman"/>
          <w:color w:val="000000"/>
        </w:rPr>
        <w:t xml:space="preserve"> </w:t>
      </w:r>
      <w:r w:rsidRPr="00252D80">
        <w:rPr>
          <w:rFonts w:ascii="Times New Roman" w:eastAsia="Calibri" w:hAnsi="Times New Roman" w:cs="Times New Roman"/>
          <w:color w:val="000000"/>
        </w:rPr>
        <w:t xml:space="preserve">Vrši se izmjena </w:t>
      </w:r>
      <w:r>
        <w:rPr>
          <w:rFonts w:ascii="Times New Roman" w:eastAsia="Calibri" w:hAnsi="Times New Roman" w:cs="Times New Roman"/>
          <w:color w:val="000000"/>
        </w:rPr>
        <w:t xml:space="preserve">tenderske </w:t>
      </w:r>
      <w:r w:rsidRPr="00252D80">
        <w:rPr>
          <w:rFonts w:ascii="Times New Roman" w:eastAsia="Calibri" w:hAnsi="Times New Roman" w:cs="Times New Roman"/>
          <w:color w:val="000000"/>
        </w:rPr>
        <w:t xml:space="preserve">dokumentacije na portalu CEJN </w:t>
      </w:r>
      <w:r w:rsidRPr="001F3844">
        <w:rPr>
          <w:rFonts w:ascii="Times New Roman" w:eastAsia="Calibri" w:hAnsi="Times New Roman" w:cs="Times New Roman"/>
          <w:color w:val="000000"/>
        </w:rPr>
        <w:t xml:space="preserve">na način što se u dijelu </w:t>
      </w:r>
      <w:r w:rsidRPr="00DA726C">
        <w:rPr>
          <w:rFonts w:ascii="Times New Roman" w:eastAsia="Calibri" w:hAnsi="Times New Roman" w:cs="Times New Roman"/>
          <w:color w:val="000000"/>
        </w:rPr>
        <w:t xml:space="preserve">Tehnička specifikacija predmeta nabavke </w:t>
      </w:r>
      <w:r>
        <w:rPr>
          <w:rFonts w:ascii="Times New Roman" w:eastAsia="Calibri" w:hAnsi="Times New Roman" w:cs="Times New Roman"/>
          <w:color w:val="000000"/>
        </w:rPr>
        <w:t xml:space="preserve">mijenja stavka </w:t>
      </w:r>
      <w:r>
        <w:rPr>
          <w:rFonts w:ascii="Times New Roman" w:eastAsia="Calibri" w:hAnsi="Times New Roman" w:cs="Times New Roman"/>
          <w:color w:val="000000"/>
        </w:rPr>
        <w:t>20</w:t>
      </w:r>
      <w:r>
        <w:rPr>
          <w:rFonts w:ascii="Times New Roman" w:eastAsia="Calibri" w:hAnsi="Times New Roman" w:cs="Times New Roman"/>
          <w:color w:val="000000"/>
        </w:rPr>
        <w:t>:</w:t>
      </w:r>
    </w:p>
    <w:p w:rsidR="00B16AA2" w:rsidRDefault="00B16AA2" w:rsidP="00B16AA2"/>
    <w:p w:rsidR="00B16AA2" w:rsidRDefault="00B16AA2" w:rsidP="00B16AA2"/>
    <w:p w:rsidR="00B16AA2" w:rsidRDefault="00B16AA2" w:rsidP="00B16AA2"/>
    <w:p w:rsidR="00B16AA2" w:rsidRDefault="00B16AA2" w:rsidP="00B16A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629"/>
        <w:gridCol w:w="5040"/>
        <w:gridCol w:w="720"/>
        <w:gridCol w:w="990"/>
      </w:tblGrid>
      <w:tr w:rsidR="00B16AA2" w:rsidTr="0063723A">
        <w:trPr>
          <w:trHeight w:val="341"/>
        </w:trPr>
        <w:tc>
          <w:tcPr>
            <w:tcW w:w="616" w:type="dxa"/>
          </w:tcPr>
          <w:p w:rsidR="00B16AA2" w:rsidRDefault="00B16AA2" w:rsidP="0063723A">
            <w:pPr>
              <w:ind w:left="100"/>
              <w:jc w:val="both"/>
              <w:rPr>
                <w:rFonts w:eastAsia="Calibri"/>
                <w:lang w:val="pl-PL"/>
              </w:rPr>
            </w:pPr>
            <w:r>
              <w:rPr>
                <w:rFonts w:eastAsia="Calibri"/>
                <w:lang w:val="pl-PL"/>
              </w:rPr>
              <w:lastRenderedPageBreak/>
              <w:t>20</w:t>
            </w:r>
            <w:r>
              <w:rPr>
                <w:rFonts w:eastAsia="Calibri"/>
                <w:lang w:val="pl-PL"/>
              </w:rPr>
              <w:t>.</w:t>
            </w:r>
          </w:p>
        </w:tc>
        <w:tc>
          <w:tcPr>
            <w:tcW w:w="1629" w:type="dxa"/>
            <w:tcBorders>
              <w:bottom w:val="single" w:sz="4" w:space="0" w:color="auto"/>
            </w:tcBorders>
          </w:tcPr>
          <w:p w:rsidR="00B16AA2" w:rsidRDefault="00B16AA2" w:rsidP="0063723A">
            <w:pPr>
              <w:ind w:left="75"/>
              <w:jc w:val="both"/>
              <w:rPr>
                <w:rFonts w:eastAsia="Calibri"/>
                <w:lang w:val="pl-PL"/>
              </w:rPr>
            </w:pPr>
            <w:r w:rsidRPr="00B16AA2">
              <w:rPr>
                <w:rFonts w:eastAsia="Calibri"/>
                <w:lang w:val="pl-PL"/>
              </w:rPr>
              <w:t>NDTS 10/0,4kV 2x630kVA "Trgomen - Nova"-NN BLOK</w:t>
            </w:r>
          </w:p>
        </w:tc>
        <w:tc>
          <w:tcPr>
            <w:tcW w:w="5040" w:type="dxa"/>
            <w:tcBorders>
              <w:bottom w:val="single" w:sz="4" w:space="0" w:color="auto"/>
            </w:tcBorders>
          </w:tcPr>
          <w:p w:rsidR="00B16AA2" w:rsidRPr="00DA726C" w:rsidRDefault="00B16AA2" w:rsidP="00B16AA2">
            <w:pPr>
              <w:jc w:val="both"/>
              <w:rPr>
                <w:rFonts w:eastAsia="Calibri"/>
                <w:lang w:val="pl-PL"/>
              </w:rPr>
            </w:pPr>
            <w:r w:rsidRPr="00B16AA2">
              <w:rPr>
                <w:rFonts w:eastAsia="Calibri"/>
                <w:lang w:val="pl-PL"/>
              </w:rPr>
              <w:t xml:space="preserve">Nabavka, isporuka, transport i montaža niskonaponskog razvoda koji se sastoji od NN razvodnog bloka, smještenog u ormar, sa 0,4kV sabirnicama i elementima prema opisu. Blok je predviđen za pričvršćenje na pod prostorije. Izrađen je od lima, zaštićenog od korozije. Sklopni blok sadrži : -Tropolni zaštitni prekidač, 690V, 50Hz, nazivne struje1250A prekidne moći 50kA, Ics=100%Icu kom 1 -Mikroprocesorska jedinica za prekostrujnu I termomagnetnu zaštitu, sa ostalim funkcijama za mjerenje Micrologic 5.0X. kom 1 -Četvoropolni (4P) odvodnik prenapona, 440V, Imax(8/20ms)=20kA, In=15kA, Up=1.2kV kom 3 -Izolovani sklop osigurač- rastavljač kom 1 -Jednopolna preklopka bez nultog položaja, 690V, 20A kom 1 -Relej sa tri preklopna kontakta s tipkom i dvije signalne značke, sa podnožjem i sigurnosnom oprugom za nazivni napon 230V, 50Hz kom 2 -Strujni mjerni transformatori, 1000/5A, kl. 0.5, 10VA kom 3 -Taster emergency stop za slučaj potrebe nužnog-brzog isključenja kojim se isključuje energetski transformator na strani srednjeg napona. kom 1 -Kondenzatorske baterije 40kVAr, 40/48 kVAr, 400V, 50 HZ kom 1 -Spojni vod od osigurač-sklopke -Q9 (odvod br.9) do kondenzatorske baterije izvodi se sa sljedećom opremom: kabl PP00 4x50 mm2 m 3 -Pokositrena bakrena kompresijska kablovska stopica, za spoj kondenzatorske baterije i kabla PP00 4x50 mm2 - Cu 50, M10 kom 3 -Osiguračke pruge: Fupact ISFL 630A kom 2 Fupact ISFL 400A kom 6 Fupact ISFL 160A kom 2 Utičnica 220V, 16A kom 1 -Svjetiljka sa prekidačem linestra kom 1 -Epoksidni potporni izolatori za sabirnice 1kV kom 24 -Ostali sitni i nespecificirani materijal pauš 1 Polje javne rasvjete: -Direktno niskonaponsko trofazno, dvotarifno brojilo, +A, s impulsnim i (ili) serijskim dvosmjernim komunikacionim interfejsom; kl. 2, nazivnog napona: Un=3x230/400V, nazivne i maksimalne struje In=10A, Imax=60A (isporučuje OD) kom 1 -3-polni minijaturni prekidač niskog napona prekidne moći 10kA po IEC 60898-1, karakteristike okidanja B, nazivne struje I=40A kom 2 -Tropolni kontaktor, tipa LC1K65P7, naznačene struje 65A (KM1) kom 1 -Automatski prekidač C60N, 1P, 10A kom 3 -Jednopolna tropoložajna preklopka za izbor režima rada (1-0-2), ručno isključeno automatski kom 1 -Redne stezaljke pauš 1 -Digitalni uklopni sat za </w:t>
            </w:r>
            <w:r w:rsidRPr="00B16AA2">
              <w:rPr>
                <w:rFonts w:eastAsia="Calibri"/>
                <w:lang w:val="pl-PL"/>
              </w:rPr>
              <w:lastRenderedPageBreak/>
              <w:t>programiranje dva nezavisna kanala, montaža na DIN šinu, max struja prekida 16A kom 1</w:t>
            </w:r>
          </w:p>
        </w:tc>
        <w:tc>
          <w:tcPr>
            <w:tcW w:w="720" w:type="dxa"/>
            <w:tcBorders>
              <w:bottom w:val="single" w:sz="4" w:space="0" w:color="auto"/>
            </w:tcBorders>
          </w:tcPr>
          <w:p w:rsidR="00B16AA2" w:rsidRDefault="00B16AA2" w:rsidP="0063723A">
            <w:pPr>
              <w:jc w:val="both"/>
              <w:rPr>
                <w:rFonts w:eastAsia="Calibri"/>
                <w:lang w:val="pl-PL"/>
              </w:rPr>
            </w:pPr>
            <w:r>
              <w:rPr>
                <w:rFonts w:eastAsia="Calibri"/>
                <w:lang w:val="pl-PL"/>
              </w:rPr>
              <w:lastRenderedPageBreak/>
              <w:t>1</w:t>
            </w:r>
            <w:r w:rsidRPr="00DA726C">
              <w:rPr>
                <w:rFonts w:eastAsia="Calibri"/>
                <w:lang w:val="pl-PL"/>
              </w:rPr>
              <w:t xml:space="preserve"> </w:t>
            </w:r>
          </w:p>
        </w:tc>
        <w:tc>
          <w:tcPr>
            <w:tcW w:w="990" w:type="dxa"/>
            <w:tcBorders>
              <w:bottom w:val="single" w:sz="4" w:space="0" w:color="auto"/>
            </w:tcBorders>
          </w:tcPr>
          <w:p w:rsidR="00B16AA2" w:rsidRDefault="00B16AA2" w:rsidP="0063723A">
            <w:pPr>
              <w:rPr>
                <w:rFonts w:eastAsia="Calibri"/>
                <w:lang w:val="pl-PL"/>
              </w:rPr>
            </w:pPr>
            <w:r>
              <w:rPr>
                <w:rFonts w:eastAsia="Calibri"/>
                <w:lang w:val="pl-PL"/>
              </w:rPr>
              <w:t>kom</w:t>
            </w:r>
          </w:p>
        </w:tc>
      </w:tr>
    </w:tbl>
    <w:p w:rsidR="00B16AA2" w:rsidRDefault="00B16AA2" w:rsidP="00B16AA2"/>
    <w:p w:rsidR="00B16AA2" w:rsidRPr="00B16AA2" w:rsidRDefault="00B16AA2" w:rsidP="00B16AA2"/>
    <w:p w:rsidR="00B16AA2" w:rsidRDefault="00B16AA2" w:rsidP="00D65BC7">
      <w:r>
        <w:t>Pa sada glasi:</w:t>
      </w:r>
    </w:p>
    <w:p w:rsidR="00B16AA2" w:rsidRDefault="00B16AA2" w:rsidP="00D65B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629"/>
        <w:gridCol w:w="5040"/>
        <w:gridCol w:w="720"/>
        <w:gridCol w:w="990"/>
      </w:tblGrid>
      <w:tr w:rsidR="002877F2" w:rsidTr="0063723A">
        <w:trPr>
          <w:trHeight w:val="341"/>
        </w:trPr>
        <w:tc>
          <w:tcPr>
            <w:tcW w:w="616" w:type="dxa"/>
          </w:tcPr>
          <w:p w:rsidR="002877F2" w:rsidRDefault="002877F2" w:rsidP="0063723A">
            <w:pPr>
              <w:ind w:left="100"/>
              <w:jc w:val="both"/>
              <w:rPr>
                <w:rFonts w:eastAsia="Calibri"/>
                <w:lang w:val="pl-PL"/>
              </w:rPr>
            </w:pPr>
            <w:r>
              <w:rPr>
                <w:rFonts w:eastAsia="Calibri"/>
                <w:lang w:val="pl-PL"/>
              </w:rPr>
              <w:t>20.</w:t>
            </w:r>
          </w:p>
        </w:tc>
        <w:tc>
          <w:tcPr>
            <w:tcW w:w="1629" w:type="dxa"/>
            <w:tcBorders>
              <w:bottom w:val="single" w:sz="4" w:space="0" w:color="auto"/>
            </w:tcBorders>
          </w:tcPr>
          <w:p w:rsidR="002877F2" w:rsidRDefault="002877F2" w:rsidP="0063723A">
            <w:pPr>
              <w:ind w:left="75"/>
              <w:jc w:val="both"/>
              <w:rPr>
                <w:rFonts w:eastAsia="Calibri"/>
                <w:lang w:val="pl-PL"/>
              </w:rPr>
            </w:pPr>
            <w:r w:rsidRPr="00B16AA2">
              <w:rPr>
                <w:rFonts w:eastAsia="Calibri"/>
                <w:lang w:val="pl-PL"/>
              </w:rPr>
              <w:t>NDTS 10/0,4kV 2x630kVA "Trgomen - Nova"-NN BLOK</w:t>
            </w:r>
          </w:p>
        </w:tc>
        <w:tc>
          <w:tcPr>
            <w:tcW w:w="5040" w:type="dxa"/>
            <w:tcBorders>
              <w:bottom w:val="single" w:sz="4" w:space="0" w:color="auto"/>
            </w:tcBorders>
          </w:tcPr>
          <w:p w:rsidR="002877F2" w:rsidRPr="00DA726C" w:rsidRDefault="002877F2" w:rsidP="0063723A">
            <w:pPr>
              <w:jc w:val="both"/>
              <w:rPr>
                <w:rFonts w:eastAsia="Calibri"/>
                <w:lang w:val="pl-PL"/>
              </w:rPr>
            </w:pPr>
            <w:r w:rsidRPr="002877F2">
              <w:rPr>
                <w:rFonts w:eastAsia="Calibri"/>
                <w:lang w:val="pl-PL"/>
              </w:rPr>
              <w:t xml:space="preserve">Nabavka, isporuka, transport i montaža niskonaponskog razvoda koji se sastoji od NN razvodnog bloka, smještenog u ormar, sa 0,4kV sabirnicama i elementima prema opisu. Blok je predviđen za pričvršćenje na pod prostorije. Izrađen je od lima, zaštićenog od korozije. Sklopni blok sadrži : -Tropolni zaštitni prekidač, 690V, 50Hz, nazivne struje1250A prekidne moći 50kA, Ics=100%Icu kom 1 -Mikroprocesorska jedinica za prekostrujnu I termomagnetnu zaštitu, sa ostalim funkcijama za mjerenje kom 1 -Četvoropolni (4P) odvodnik prenapona, 440V, Imax(8/20ms)=20kA, In=15kA, Up=1.2kV kom 1 -Izolovani sklop osigurač- rastavljač kom 1 -Jednopolna preklopka bez nultog položaja, 690V, 20A kom 1 -Relej sa tri preklopna kontakta s tipkom i dvije signalne značke, sa podnožjem i sigurnosnom oprugom za nazivni napon 230V, 50Hz kom 2 -Strujni mjerni transformatori, 1000/5A, kl. 0.5, 10VA kom 6 -Taster emergency stop za slučaj potrebe nužnog-brzog isključenja kojim se isključuje energetski transformator na strani srednjeg napona. kom 1 -Kondenzatorske baterije 40kVAr, 40/48 kVAr, 400V, 50 HZ kom 1 -Spojni vod od osigurač-sklopke -Q9 (odvod br.9) do kondenzatorske baterije izvodi se sa sljedećom opremom: kabl PP00 4x50 mm2 m 3 -Pokositrena bakrena kompresijska kablovska stopica, za spoj kondenzatorske baterije i kabla PP00 4x50 mm2 - Cu 50, M10 kom 3 -Osiguračke pruge: 630A kom 2; 400A kom 6; 160A kom 2. Utičnica 220V, 16A kom 1 -Svjetiljka sa prekidačem linestra kom 1 -Epoksidni potporni izolatori za sabirnice 1kV kom 24 -Ostali sitni i nespecificirani materijal pauš 1 Polje javne rasvjete: -Direktno niskonaponsko trofazno, dvotarifno brojilo, +A, s impulsnim i (ili) serijskim dvosmjernim komunikacionim interfejsom; kl. 2, nazivnog napona: Un=3x230/400V, nazivne i maksimalne struje In=10A, Imax=60A (isporučuje OD) kom 1 -3-polni minijaturni prekidač niskog napona prekidne moći 10kA po IEC 60898-1, karakteristike okidanja B, nazivne struje I=40A kom 2 -Tropolni kontaktor, naznačene struje 65A </w:t>
            </w:r>
            <w:r w:rsidRPr="002877F2">
              <w:rPr>
                <w:rFonts w:eastAsia="Calibri"/>
                <w:lang w:val="pl-PL"/>
              </w:rPr>
              <w:lastRenderedPageBreak/>
              <w:t>(KM1) kom 1 -Automatski prekidač C60N, 1P, 10A kom 3 -Jednopolna tropoložajna preklopka za izbor režima rada (1-0-2), ručno isključeno automatski kom 1 -Redne stezaljke pauš 1 -Digitalni uklopni sat za programiranje dva nezavisna kanala, montaža na DIN šinu, max struja prekida 16A kom 1</w:t>
            </w:r>
          </w:p>
        </w:tc>
        <w:tc>
          <w:tcPr>
            <w:tcW w:w="720" w:type="dxa"/>
            <w:tcBorders>
              <w:bottom w:val="single" w:sz="4" w:space="0" w:color="auto"/>
            </w:tcBorders>
          </w:tcPr>
          <w:p w:rsidR="002877F2" w:rsidRDefault="002877F2" w:rsidP="0063723A">
            <w:pPr>
              <w:jc w:val="both"/>
              <w:rPr>
                <w:rFonts w:eastAsia="Calibri"/>
                <w:lang w:val="pl-PL"/>
              </w:rPr>
            </w:pPr>
            <w:r>
              <w:rPr>
                <w:rFonts w:eastAsia="Calibri"/>
                <w:lang w:val="pl-PL"/>
              </w:rPr>
              <w:lastRenderedPageBreak/>
              <w:t>1</w:t>
            </w:r>
            <w:r w:rsidRPr="00DA726C">
              <w:rPr>
                <w:rFonts w:eastAsia="Calibri"/>
                <w:lang w:val="pl-PL"/>
              </w:rPr>
              <w:t xml:space="preserve"> </w:t>
            </w:r>
          </w:p>
        </w:tc>
        <w:tc>
          <w:tcPr>
            <w:tcW w:w="990" w:type="dxa"/>
            <w:tcBorders>
              <w:bottom w:val="single" w:sz="4" w:space="0" w:color="auto"/>
            </w:tcBorders>
          </w:tcPr>
          <w:p w:rsidR="002877F2" w:rsidRDefault="002877F2" w:rsidP="0063723A">
            <w:pPr>
              <w:rPr>
                <w:rFonts w:eastAsia="Calibri"/>
                <w:lang w:val="pl-PL"/>
              </w:rPr>
            </w:pPr>
            <w:r>
              <w:rPr>
                <w:rFonts w:eastAsia="Calibri"/>
                <w:lang w:val="pl-PL"/>
              </w:rPr>
              <w:t>kom</w:t>
            </w:r>
          </w:p>
        </w:tc>
      </w:tr>
    </w:tbl>
    <w:p w:rsidR="00B16AA2" w:rsidRDefault="00B16AA2" w:rsidP="00D65BC7"/>
    <w:p w:rsidR="00B16AA2" w:rsidRDefault="00B16AA2" w:rsidP="00D65BC7"/>
    <w:p w:rsidR="00560D22" w:rsidRPr="00A15A22" w:rsidRDefault="00B16AA2" w:rsidP="00560D22">
      <w:pPr>
        <w:spacing w:before="96"/>
        <w:jc w:val="both"/>
        <w:rPr>
          <w:rFonts w:eastAsia="Calibri"/>
          <w:b/>
          <w:color w:val="000000"/>
          <w:lang w:val="sr-Latn-ME"/>
        </w:rPr>
      </w:pPr>
      <w:r w:rsidRPr="002877F2">
        <w:rPr>
          <w:rFonts w:eastAsia="Calibri"/>
          <w:b/>
          <w:color w:val="000000"/>
          <w:lang w:val="sr-Latn-ME"/>
        </w:rPr>
        <w:t>3</w:t>
      </w:r>
      <w:r w:rsidR="00560D22" w:rsidRPr="002877F2">
        <w:rPr>
          <w:rFonts w:eastAsia="Calibri"/>
          <w:b/>
          <w:color w:val="000000"/>
          <w:lang w:val="sr-Latn-ME"/>
        </w:rPr>
        <w:t>.</w:t>
      </w:r>
      <w:r w:rsidR="00560D22" w:rsidRPr="002877F2">
        <w:rPr>
          <w:rFonts w:eastAsia="Calibri"/>
          <w:color w:val="000000"/>
          <w:lang w:val="sr-Latn-ME"/>
        </w:rPr>
        <w:t xml:space="preserve"> Vrši se izmjena word dokumenta tenderske dokumentacije tačka </w:t>
      </w:r>
      <w:r w:rsidR="00560D22" w:rsidRPr="002877F2">
        <w:rPr>
          <w:rFonts w:eastAsia="Calibri"/>
          <w:b/>
          <w:color w:val="000000"/>
          <w:lang w:val="sr-Latn-ME"/>
        </w:rPr>
        <w:t>9. NAČIN, MJESTO I VRIJEME PODNOŠENJA PONUDA I OTVARANJA PONUDA</w:t>
      </w:r>
      <w:r w:rsidR="00560D22" w:rsidRPr="002877F2">
        <w:rPr>
          <w:rFonts w:eastAsia="Calibri"/>
          <w:color w:val="000000"/>
          <w:lang w:val="sr-Latn-ME"/>
        </w:rPr>
        <w:t>, pa sada glasi</w:t>
      </w:r>
      <w:r w:rsidR="00560D22" w:rsidRPr="002877F2">
        <w:rPr>
          <w:rFonts w:eastAsia="Calibri"/>
          <w:color w:val="000000"/>
        </w:rPr>
        <w:t>:</w:t>
      </w:r>
    </w:p>
    <w:p w:rsidR="00560D22" w:rsidRPr="00A15A22" w:rsidRDefault="00560D22" w:rsidP="00560D22">
      <w:pPr>
        <w:pStyle w:val="NoSpacing"/>
        <w:jc w:val="both"/>
        <w:rPr>
          <w:rFonts w:ascii="Times New Roman" w:hAnsi="Times New Roman"/>
          <w:sz w:val="24"/>
          <w:szCs w:val="24"/>
          <w:lang w:val="sr-Latn-ME"/>
        </w:rPr>
      </w:pPr>
    </w:p>
    <w:p w:rsidR="00560D22" w:rsidRPr="00A15A22" w:rsidRDefault="00560D22" w:rsidP="00560D22">
      <w:pPr>
        <w:pStyle w:val="NoSpacing"/>
        <w:jc w:val="both"/>
        <w:rPr>
          <w:rFonts w:ascii="Times New Roman" w:hAnsi="Times New Roman"/>
          <w:sz w:val="24"/>
          <w:szCs w:val="24"/>
        </w:rPr>
      </w:pPr>
      <w:r w:rsidRPr="00A15A22">
        <w:rPr>
          <w:rFonts w:ascii="Times New Roman" w:hAnsi="Times New Roman"/>
          <w:sz w:val="24"/>
          <w:szCs w:val="24"/>
          <w:lang w:val="sr-Latn-ME"/>
        </w:rPr>
        <w:t xml:space="preserve">Ponude se podnose preko ESJN-a zaključno sa </w:t>
      </w:r>
      <w:r w:rsidRPr="00A15A22">
        <w:rPr>
          <w:rFonts w:ascii="Times New Roman" w:hAnsi="Times New Roman"/>
          <w:sz w:val="24"/>
          <w:szCs w:val="24"/>
          <w:shd w:val="clear" w:color="auto" w:fill="FFFFFF"/>
          <w:lang w:val="sr-Latn-ME"/>
        </w:rPr>
        <w:t xml:space="preserve">danom </w:t>
      </w:r>
      <w:r w:rsidR="002877F2">
        <w:rPr>
          <w:rFonts w:ascii="Times New Roman" w:hAnsi="Times New Roman"/>
          <w:b/>
          <w:sz w:val="24"/>
          <w:szCs w:val="24"/>
          <w:shd w:val="clear" w:color="auto" w:fill="FFFFFF"/>
          <w:lang w:val="sr-Latn-ME"/>
        </w:rPr>
        <w:t>17</w:t>
      </w:r>
      <w:r>
        <w:rPr>
          <w:rFonts w:ascii="Times New Roman" w:hAnsi="Times New Roman"/>
          <w:b/>
          <w:sz w:val="24"/>
          <w:szCs w:val="24"/>
          <w:shd w:val="clear" w:color="auto" w:fill="FFFFFF"/>
          <w:lang w:val="sr-Latn-ME"/>
        </w:rPr>
        <w:t>.</w:t>
      </w:r>
      <w:r w:rsidR="007148DD">
        <w:rPr>
          <w:rFonts w:ascii="Times New Roman" w:hAnsi="Times New Roman"/>
          <w:b/>
          <w:sz w:val="24"/>
          <w:szCs w:val="24"/>
          <w:shd w:val="clear" w:color="auto" w:fill="FFFFFF"/>
          <w:lang w:val="sr-Latn-ME"/>
        </w:rPr>
        <w:t>0</w:t>
      </w:r>
      <w:r w:rsidR="002877F2">
        <w:rPr>
          <w:rFonts w:ascii="Times New Roman" w:hAnsi="Times New Roman"/>
          <w:b/>
          <w:sz w:val="24"/>
          <w:szCs w:val="24"/>
          <w:shd w:val="clear" w:color="auto" w:fill="FFFFFF"/>
          <w:lang w:val="sr-Latn-ME"/>
        </w:rPr>
        <w:t>3</w:t>
      </w:r>
      <w:r w:rsidRPr="00DD617A">
        <w:rPr>
          <w:rFonts w:ascii="Times New Roman" w:hAnsi="Times New Roman"/>
          <w:b/>
          <w:sz w:val="24"/>
          <w:szCs w:val="24"/>
          <w:shd w:val="clear" w:color="auto" w:fill="FFFFFF"/>
          <w:lang w:val="sr-Latn-ME"/>
        </w:rPr>
        <w:t>.202</w:t>
      </w:r>
      <w:r w:rsidR="007148DD">
        <w:rPr>
          <w:rFonts w:ascii="Times New Roman" w:hAnsi="Times New Roman"/>
          <w:b/>
          <w:sz w:val="24"/>
          <w:szCs w:val="24"/>
          <w:shd w:val="clear" w:color="auto" w:fill="FFFFFF"/>
          <w:lang w:val="sr-Latn-ME"/>
        </w:rPr>
        <w:t>5</w:t>
      </w:r>
      <w:r w:rsidRPr="00DD617A">
        <w:rPr>
          <w:rFonts w:ascii="Times New Roman" w:hAnsi="Times New Roman"/>
          <w:b/>
          <w:sz w:val="24"/>
          <w:szCs w:val="24"/>
          <w:shd w:val="clear" w:color="auto" w:fill="FFFFFF"/>
          <w:lang w:val="sr-Latn-ME"/>
        </w:rPr>
        <w:t>. godine</w:t>
      </w:r>
      <w:r w:rsidRPr="00DD617A">
        <w:rPr>
          <w:rFonts w:ascii="Times New Roman" w:hAnsi="Times New Roman"/>
          <w:b/>
          <w:sz w:val="24"/>
          <w:szCs w:val="24"/>
          <w:lang w:val="sr-Latn-ME"/>
        </w:rPr>
        <w:t xml:space="preserve"> do 10:00 sati.</w:t>
      </w:r>
    </w:p>
    <w:p w:rsidR="00560D22" w:rsidRPr="00A15A22" w:rsidRDefault="00560D22" w:rsidP="00560D22">
      <w:pPr>
        <w:pStyle w:val="NoSpacing"/>
        <w:jc w:val="both"/>
        <w:rPr>
          <w:rFonts w:ascii="Times New Roman" w:hAnsi="Times New Roman"/>
          <w:sz w:val="24"/>
          <w:szCs w:val="24"/>
        </w:rPr>
      </w:pPr>
      <w:r w:rsidRPr="00A15A22">
        <w:rPr>
          <w:rFonts w:ascii="Times New Roman" w:hAnsi="Times New Roman"/>
          <w:sz w:val="24"/>
          <w:szCs w:val="24"/>
          <w:lang w:val="sr-Latn-ME"/>
        </w:rPr>
        <w:t> </w:t>
      </w:r>
    </w:p>
    <w:p w:rsidR="00560D22" w:rsidRPr="00A15A22" w:rsidRDefault="00560D22" w:rsidP="00560D22">
      <w:pPr>
        <w:pStyle w:val="NoSpacing"/>
        <w:jc w:val="both"/>
        <w:rPr>
          <w:rFonts w:ascii="Times New Roman" w:hAnsi="Times New Roman"/>
          <w:sz w:val="24"/>
          <w:szCs w:val="24"/>
          <w:lang w:val="sr-Latn-ME"/>
        </w:rPr>
      </w:pPr>
      <w:r w:rsidRPr="00A15A22">
        <w:rPr>
          <w:rFonts w:ascii="Times New Roman" w:hAnsi="Times New Roman"/>
          <w:sz w:val="24"/>
          <w:szCs w:val="24"/>
          <w:lang w:val="sr-Latn-ME"/>
        </w:rPr>
        <w:t xml:space="preserve">Izjava privrednog subjekta i garancija ponude podnose se u elektronskom obliku putem ESJN. </w:t>
      </w:r>
    </w:p>
    <w:p w:rsidR="00560D22" w:rsidRPr="00A15A22" w:rsidRDefault="00560D22" w:rsidP="00560D22">
      <w:pPr>
        <w:pStyle w:val="NoSpacing"/>
        <w:jc w:val="both"/>
        <w:rPr>
          <w:rFonts w:ascii="Times New Roman" w:hAnsi="Times New Roman"/>
          <w:sz w:val="24"/>
          <w:szCs w:val="24"/>
        </w:rPr>
      </w:pPr>
    </w:p>
    <w:p w:rsidR="00560D22" w:rsidRPr="002D669A" w:rsidRDefault="00560D22" w:rsidP="00560D22">
      <w:pPr>
        <w:pStyle w:val="NoSpacing"/>
        <w:jc w:val="both"/>
        <w:rPr>
          <w:rFonts w:ascii="Times New Roman" w:hAnsi="Times New Roman"/>
          <w:sz w:val="24"/>
          <w:szCs w:val="24"/>
        </w:rPr>
      </w:pPr>
      <w:r w:rsidRPr="00A15A22">
        <w:rPr>
          <w:rFonts w:ascii="Times New Roman" w:hAnsi="Times New Roman"/>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 </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ESJN će izvršiti automatsko otvaranje ponuda istovremeno sa istekom roka za dostavljanje ponuda iz prethodnog stava, generisati zapisnik o otvaranju ponuda i izvršiti njegovu automatsku dostavu svim ponuđačima koji su podnijeli ponude.</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 </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O dostavljanju garancije ponude, naručilac će sačiniti potvrdu i uz zapisnik o otvaranju ponuda priložiti kao skeniranu kopiju u ESJN, istog dana kada je izvršeno otvaranje ponuda.</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 </w:t>
      </w:r>
    </w:p>
    <w:p w:rsidR="00560D22" w:rsidRDefault="00560D22" w:rsidP="00560D22">
      <w:pPr>
        <w:pStyle w:val="NoSpacing"/>
        <w:jc w:val="both"/>
        <w:rPr>
          <w:rFonts w:ascii="Times New Roman" w:hAnsi="Times New Roman"/>
          <w:sz w:val="24"/>
          <w:szCs w:val="24"/>
          <w:lang w:val="sr-Latn-ME"/>
        </w:rPr>
      </w:pPr>
      <w:r w:rsidRPr="002D669A">
        <w:rPr>
          <w:rFonts w:ascii="Times New Roman" w:hAnsi="Times New Roman"/>
          <w:sz w:val="24"/>
          <w:szCs w:val="24"/>
          <w:lang w:val="sr-Latn-ME"/>
        </w:rPr>
        <w:t>Original garancije ponude u pisanom obliku dostavlja se:</w:t>
      </w:r>
    </w:p>
    <w:p w:rsidR="00560D22" w:rsidRPr="002D669A" w:rsidRDefault="00560D22" w:rsidP="00560D22">
      <w:pPr>
        <w:pStyle w:val="NoSpacing"/>
        <w:jc w:val="both"/>
        <w:rPr>
          <w:rFonts w:ascii="Times New Roman" w:hAnsi="Times New Roman"/>
          <w:sz w:val="24"/>
          <w:szCs w:val="24"/>
        </w:rPr>
      </w:pPr>
    </w:p>
    <w:p w:rsidR="00560D22" w:rsidRPr="002D669A" w:rsidRDefault="00560D22" w:rsidP="00560D22">
      <w:pPr>
        <w:pStyle w:val="NoSpacing"/>
        <w:numPr>
          <w:ilvl w:val="0"/>
          <w:numId w:val="27"/>
        </w:numPr>
        <w:jc w:val="both"/>
        <w:rPr>
          <w:rFonts w:ascii="Times New Roman" w:hAnsi="Times New Roman"/>
          <w:sz w:val="24"/>
          <w:szCs w:val="24"/>
        </w:rPr>
      </w:pPr>
      <w:r w:rsidRPr="002D669A">
        <w:rPr>
          <w:rFonts w:ascii="Times New Roman" w:hAnsi="Times New Roman"/>
          <w:sz w:val="24"/>
          <w:szCs w:val="24"/>
          <w:lang w:val="sr-Latn-ME"/>
        </w:rPr>
        <w:t xml:space="preserve">neposrednom predajom na arhivi naručioca na adresi </w:t>
      </w:r>
      <w:r w:rsidRPr="002D669A">
        <w:rPr>
          <w:rFonts w:ascii="Times New Roman" w:hAnsi="Times New Roman"/>
          <w:sz w:val="24"/>
          <w:szCs w:val="24"/>
        </w:rPr>
        <w:t>Ul. Ivana Milutinovića br. 12, Podgorica;</w:t>
      </w:r>
    </w:p>
    <w:p w:rsidR="00560D22" w:rsidRPr="002D669A" w:rsidRDefault="00560D22" w:rsidP="00560D22">
      <w:pPr>
        <w:pStyle w:val="NoSpacing"/>
        <w:numPr>
          <w:ilvl w:val="0"/>
          <w:numId w:val="27"/>
        </w:numPr>
        <w:jc w:val="both"/>
        <w:rPr>
          <w:rFonts w:ascii="Times New Roman" w:hAnsi="Times New Roman"/>
          <w:sz w:val="24"/>
          <w:szCs w:val="24"/>
          <w:lang w:val="sr-Latn-ME"/>
        </w:rPr>
      </w:pPr>
      <w:r w:rsidRPr="002D669A">
        <w:rPr>
          <w:rFonts w:ascii="Times New Roman" w:hAnsi="Times New Roman"/>
          <w:sz w:val="24"/>
          <w:szCs w:val="24"/>
          <w:lang w:val="sr-Latn-ME"/>
        </w:rPr>
        <w:t xml:space="preserve">preporučenom pošiljkom sa povratnicom na adresi </w:t>
      </w:r>
      <w:r w:rsidRPr="002D669A">
        <w:rPr>
          <w:rFonts w:ascii="Times New Roman" w:hAnsi="Times New Roman"/>
          <w:sz w:val="24"/>
          <w:szCs w:val="24"/>
        </w:rPr>
        <w:t>Ul. Ivana Milutinovića br. 12, Podgorica, s tim što ponuda mora biti uručena od strane poštanskog operatora najkasnije do roka određenog za podnošenje ponude</w:t>
      </w:r>
    </w:p>
    <w:p w:rsidR="00560D22" w:rsidRPr="002D669A" w:rsidRDefault="00560D22" w:rsidP="00560D22">
      <w:pPr>
        <w:pStyle w:val="NoSpacing"/>
        <w:jc w:val="both"/>
        <w:rPr>
          <w:rFonts w:ascii="Times New Roman" w:hAnsi="Times New Roman"/>
          <w:sz w:val="24"/>
          <w:szCs w:val="24"/>
          <w:lang w:val="sr-Latn-ME"/>
        </w:rPr>
      </w:pPr>
    </w:p>
    <w:p w:rsidR="00560D22" w:rsidRPr="00DD617A" w:rsidRDefault="00560D22" w:rsidP="00560D22">
      <w:pPr>
        <w:pStyle w:val="NoSpacing"/>
        <w:jc w:val="both"/>
        <w:rPr>
          <w:rFonts w:ascii="Times New Roman" w:hAnsi="Times New Roman"/>
          <w:sz w:val="24"/>
          <w:szCs w:val="24"/>
          <w:lang w:val="sr-Latn-ME"/>
        </w:rPr>
      </w:pPr>
      <w:r w:rsidRPr="00D156C8">
        <w:rPr>
          <w:rFonts w:ascii="Times New Roman" w:hAnsi="Times New Roman"/>
          <w:sz w:val="24"/>
          <w:szCs w:val="24"/>
          <w:lang w:val="sr-Latn-ME"/>
        </w:rPr>
        <w:t xml:space="preserve">radnim danima od </w:t>
      </w:r>
      <w:r w:rsidRPr="00D156C8">
        <w:rPr>
          <w:rFonts w:ascii="Times New Roman" w:hAnsi="Times New Roman"/>
          <w:sz w:val="24"/>
          <w:szCs w:val="24"/>
        </w:rPr>
        <w:t xml:space="preserve">od 8:00 do 12:00 </w:t>
      </w:r>
      <w:r w:rsidRPr="00D156C8">
        <w:rPr>
          <w:rFonts w:ascii="Times New Roman" w:hAnsi="Times New Roman"/>
          <w:sz w:val="24"/>
          <w:szCs w:val="24"/>
          <w:lang w:val="sr-Latn-ME"/>
        </w:rPr>
        <w:t xml:space="preserve">sati, zaključno sa danom </w:t>
      </w:r>
      <w:r w:rsidR="002877F2">
        <w:rPr>
          <w:rFonts w:ascii="Times New Roman" w:hAnsi="Times New Roman"/>
          <w:b/>
          <w:sz w:val="24"/>
          <w:szCs w:val="24"/>
        </w:rPr>
        <w:t>17</w:t>
      </w:r>
      <w:r>
        <w:rPr>
          <w:rFonts w:ascii="Times New Roman" w:hAnsi="Times New Roman"/>
          <w:b/>
          <w:sz w:val="24"/>
          <w:szCs w:val="24"/>
        </w:rPr>
        <w:t>.</w:t>
      </w:r>
      <w:r w:rsidR="008B4C81">
        <w:rPr>
          <w:rFonts w:ascii="Times New Roman" w:hAnsi="Times New Roman"/>
          <w:b/>
          <w:sz w:val="24"/>
          <w:szCs w:val="24"/>
        </w:rPr>
        <w:t>0</w:t>
      </w:r>
      <w:r w:rsidR="002877F2">
        <w:rPr>
          <w:rFonts w:ascii="Times New Roman" w:hAnsi="Times New Roman"/>
          <w:b/>
          <w:sz w:val="24"/>
          <w:szCs w:val="24"/>
        </w:rPr>
        <w:t>3</w:t>
      </w:r>
      <w:r w:rsidR="008B4C81">
        <w:rPr>
          <w:rFonts w:ascii="Times New Roman" w:hAnsi="Times New Roman"/>
          <w:b/>
          <w:sz w:val="24"/>
          <w:szCs w:val="24"/>
        </w:rPr>
        <w:t>.2025</w:t>
      </w:r>
      <w:r w:rsidRPr="00DD617A">
        <w:rPr>
          <w:rFonts w:ascii="Times New Roman" w:hAnsi="Times New Roman"/>
          <w:b/>
          <w:sz w:val="24"/>
          <w:szCs w:val="24"/>
        </w:rPr>
        <w:t>. godine do 10:00 sati</w:t>
      </w:r>
      <w:r w:rsidRPr="00DD617A">
        <w:rPr>
          <w:rFonts w:ascii="Times New Roman" w:hAnsi="Times New Roman"/>
          <w:b/>
          <w:sz w:val="24"/>
          <w:szCs w:val="24"/>
          <w:lang w:val="sr-Latn-ME"/>
        </w:rPr>
        <w:t>.</w:t>
      </w:r>
    </w:p>
    <w:p w:rsidR="00560D22" w:rsidRPr="00DD617A" w:rsidRDefault="00560D22" w:rsidP="00560D22">
      <w:pPr>
        <w:pStyle w:val="NoSpacing"/>
        <w:jc w:val="both"/>
        <w:rPr>
          <w:rFonts w:ascii="Times New Roman" w:hAnsi="Times New Roman"/>
          <w:b/>
          <w:bCs/>
          <w:sz w:val="24"/>
          <w:szCs w:val="24"/>
          <w:highlight w:val="yellow"/>
          <w:lang w:val="sr-Latn-ME"/>
        </w:rPr>
      </w:pPr>
    </w:p>
    <w:p w:rsidR="00560D22" w:rsidRPr="00C90C96" w:rsidRDefault="00560D22" w:rsidP="00560D22">
      <w:pPr>
        <w:pStyle w:val="NoSpacing"/>
        <w:jc w:val="both"/>
        <w:rPr>
          <w:rFonts w:ascii="Times New Roman" w:hAnsi="Times New Roman"/>
          <w:b/>
          <w:sz w:val="24"/>
          <w:szCs w:val="24"/>
        </w:rPr>
      </w:pPr>
      <w:r w:rsidRPr="00DD617A">
        <w:rPr>
          <w:rFonts w:ascii="Times New Roman" w:hAnsi="Times New Roman"/>
          <w:bCs/>
          <w:sz w:val="24"/>
          <w:szCs w:val="24"/>
          <w:lang w:val="sr-Latn-ME"/>
        </w:rPr>
        <w:t xml:space="preserve">Otvaranje ponuda i otvaranje garancije ponude održaće se </w:t>
      </w:r>
      <w:r w:rsidRPr="00DD617A">
        <w:rPr>
          <w:rFonts w:ascii="Times New Roman" w:hAnsi="Times New Roman"/>
          <w:bCs/>
          <w:sz w:val="24"/>
          <w:szCs w:val="24"/>
          <w:shd w:val="clear" w:color="auto" w:fill="FFFFFF"/>
          <w:lang w:val="sr-Latn-ME"/>
        </w:rPr>
        <w:t>dana </w:t>
      </w:r>
      <w:r w:rsidR="002877F2">
        <w:rPr>
          <w:rFonts w:ascii="Times New Roman" w:hAnsi="Times New Roman"/>
          <w:b/>
          <w:bCs/>
          <w:sz w:val="24"/>
          <w:szCs w:val="24"/>
          <w:shd w:val="clear" w:color="auto" w:fill="FFFFFF"/>
          <w:lang w:val="sr-Latn-ME"/>
        </w:rPr>
        <w:t>17</w:t>
      </w:r>
      <w:r w:rsidRPr="00DD617A">
        <w:rPr>
          <w:rFonts w:ascii="Times New Roman" w:hAnsi="Times New Roman"/>
          <w:b/>
          <w:bCs/>
          <w:sz w:val="24"/>
          <w:szCs w:val="24"/>
          <w:shd w:val="clear" w:color="auto" w:fill="FFFFFF"/>
          <w:lang w:val="sr-Latn-ME"/>
        </w:rPr>
        <w:t>.</w:t>
      </w:r>
      <w:r w:rsidR="008B4C81">
        <w:rPr>
          <w:rFonts w:ascii="Times New Roman" w:hAnsi="Times New Roman"/>
          <w:b/>
          <w:bCs/>
          <w:sz w:val="24"/>
          <w:szCs w:val="24"/>
          <w:shd w:val="clear" w:color="auto" w:fill="FFFFFF"/>
          <w:lang w:val="sr-Latn-ME"/>
        </w:rPr>
        <w:t>0</w:t>
      </w:r>
      <w:r w:rsidR="002877F2">
        <w:rPr>
          <w:rFonts w:ascii="Times New Roman" w:hAnsi="Times New Roman"/>
          <w:b/>
          <w:bCs/>
          <w:sz w:val="24"/>
          <w:szCs w:val="24"/>
          <w:shd w:val="clear" w:color="auto" w:fill="FFFFFF"/>
          <w:lang w:val="sr-Latn-ME"/>
        </w:rPr>
        <w:t>3</w:t>
      </w:r>
      <w:r w:rsidR="008B4C81">
        <w:rPr>
          <w:rFonts w:ascii="Times New Roman" w:hAnsi="Times New Roman"/>
          <w:b/>
          <w:bCs/>
          <w:sz w:val="24"/>
          <w:szCs w:val="24"/>
          <w:shd w:val="clear" w:color="auto" w:fill="FFFFFF"/>
          <w:lang w:val="sr-Latn-ME"/>
        </w:rPr>
        <w:t>.2025</w:t>
      </w:r>
      <w:r w:rsidRPr="00DD617A">
        <w:rPr>
          <w:rFonts w:ascii="Times New Roman" w:hAnsi="Times New Roman"/>
          <w:b/>
          <w:bCs/>
          <w:sz w:val="24"/>
          <w:szCs w:val="24"/>
          <w:shd w:val="clear" w:color="auto" w:fill="FFFFFF"/>
          <w:lang w:val="sr-Latn-ME"/>
        </w:rPr>
        <w:t>. godine</w:t>
      </w:r>
      <w:r w:rsidRPr="00DD617A">
        <w:rPr>
          <w:rFonts w:ascii="Times New Roman" w:hAnsi="Times New Roman"/>
          <w:b/>
          <w:bCs/>
          <w:sz w:val="24"/>
          <w:szCs w:val="24"/>
          <w:lang w:val="sr-Latn-ME"/>
        </w:rPr>
        <w:t xml:space="preserve"> u 10:00</w:t>
      </w:r>
      <w:r w:rsidRPr="0068027C">
        <w:rPr>
          <w:rFonts w:ascii="Times New Roman" w:hAnsi="Times New Roman"/>
          <w:b/>
          <w:bCs/>
          <w:sz w:val="24"/>
          <w:szCs w:val="24"/>
          <w:lang w:val="sr-Latn-ME"/>
        </w:rPr>
        <w:t xml:space="preserve"> sati</w:t>
      </w:r>
      <w:r>
        <w:rPr>
          <w:rFonts w:ascii="Times New Roman" w:hAnsi="Times New Roman"/>
          <w:b/>
          <w:bCs/>
          <w:sz w:val="24"/>
          <w:szCs w:val="24"/>
          <w:lang w:val="sr-Latn-ME"/>
        </w:rPr>
        <w:t>.</w:t>
      </w:r>
    </w:p>
    <w:p w:rsidR="00087855" w:rsidRPr="00AE21C8" w:rsidRDefault="00087855" w:rsidP="00AE21C8">
      <w:pPr>
        <w:pStyle w:val="NoSpacing"/>
        <w:jc w:val="both"/>
        <w:rPr>
          <w:rFonts w:ascii="Times New Roman" w:hAnsi="Times New Roman"/>
          <w:sz w:val="24"/>
          <w:szCs w:val="24"/>
        </w:rPr>
      </w:pPr>
    </w:p>
    <w:p w:rsidR="004E52E1" w:rsidRDefault="003845AE" w:rsidP="005A0527">
      <w:pPr>
        <w:jc w:val="both"/>
        <w:rPr>
          <w:b/>
          <w:lang w:val="sl-SI"/>
        </w:rPr>
      </w:pPr>
      <w:r w:rsidRPr="00863723">
        <w:rPr>
          <w:b/>
          <w:lang w:val="sl-SI"/>
        </w:rPr>
        <w:t>Ostale odredbe Tenderske dokumentacije ostaju nepromijenjene.</w:t>
      </w:r>
    </w:p>
    <w:p w:rsidR="002877F2" w:rsidRDefault="002877F2" w:rsidP="005A0527">
      <w:pPr>
        <w:jc w:val="both"/>
        <w:rPr>
          <w:b/>
          <w:lang w:val="sl-SI"/>
        </w:rPr>
      </w:pPr>
    </w:p>
    <w:p w:rsidR="00836DEF" w:rsidRPr="00863723" w:rsidRDefault="00836DEF" w:rsidP="005A0527">
      <w:pPr>
        <w:jc w:val="both"/>
        <w:rPr>
          <w:b/>
          <w:lang w:val="sr-Latn-CS"/>
        </w:rPr>
      </w:pPr>
    </w:p>
    <w:p w:rsidR="00DB5D95" w:rsidRPr="00863723" w:rsidRDefault="00DB5D95" w:rsidP="005A0527">
      <w:pPr>
        <w:keepNext/>
        <w:keepLines/>
        <w:pBdr>
          <w:top w:val="single" w:sz="4" w:space="1" w:color="auto"/>
          <w:left w:val="single" w:sz="4" w:space="4" w:color="auto"/>
          <w:bottom w:val="single" w:sz="4" w:space="1" w:color="auto"/>
          <w:right w:val="single" w:sz="4" w:space="4" w:color="auto"/>
        </w:pBdr>
        <w:shd w:val="clear" w:color="auto" w:fill="D9D9D9"/>
        <w:spacing w:line="259" w:lineRule="auto"/>
        <w:outlineLvl w:val="0"/>
        <w:rPr>
          <w:b/>
          <w:iCs/>
        </w:rPr>
      </w:pPr>
      <w:bookmarkStart w:id="1" w:name="_Toc62730568"/>
      <w:r w:rsidRPr="00863723">
        <w:rPr>
          <w:b/>
        </w:rPr>
        <w:lastRenderedPageBreak/>
        <w:t>UPUTSTVO O PRAVNOM SREDSTVU</w:t>
      </w:r>
      <w:bookmarkEnd w:id="1"/>
    </w:p>
    <w:p w:rsidR="004E52E1" w:rsidRPr="00863723" w:rsidRDefault="004E52E1" w:rsidP="005A0527">
      <w:pPr>
        <w:jc w:val="both"/>
        <w:rPr>
          <w:rFonts w:eastAsia="Calibri"/>
        </w:rPr>
      </w:pPr>
    </w:p>
    <w:p w:rsidR="00DB5D95" w:rsidRPr="00863723" w:rsidRDefault="00DB5D95" w:rsidP="005A0527">
      <w:pPr>
        <w:jc w:val="both"/>
        <w:rPr>
          <w:rFonts w:eastAsia="Calibri"/>
        </w:rPr>
      </w:pPr>
      <w:r w:rsidRPr="00863723">
        <w:rPr>
          <w:rFonts w:eastAsia="Calibri"/>
        </w:rPr>
        <w:t>Privredni subjekat može da izjavi žalbu protiv ove tenderske dokumentacije Komisiji za zaštitu prava:</w:t>
      </w:r>
    </w:p>
    <w:p w:rsidR="00DB5D95" w:rsidRPr="00863723" w:rsidRDefault="00DB5D95" w:rsidP="005A0527">
      <w:pPr>
        <w:jc w:val="both"/>
        <w:rPr>
          <w:rFonts w:eastAsia="Calibri"/>
        </w:rPr>
      </w:pPr>
    </w:p>
    <w:p w:rsidR="00DB5D95" w:rsidRPr="00863723" w:rsidRDefault="00DB5D95" w:rsidP="005A0527">
      <w:pPr>
        <w:numPr>
          <w:ilvl w:val="0"/>
          <w:numId w:val="19"/>
        </w:numPr>
        <w:ind w:left="0"/>
        <w:jc w:val="both"/>
        <w:rPr>
          <w:rFonts w:eastAsia="Calibri"/>
          <w:lang w:val="sr-Latn-CS"/>
        </w:rPr>
      </w:pPr>
      <w:r w:rsidRPr="00863723">
        <w:rPr>
          <w:rFonts w:eastAsia="Calibri"/>
          <w:lang w:val="sr-Latn-CS"/>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DB5D95" w:rsidRPr="00863723" w:rsidRDefault="00DB5D95" w:rsidP="005A0527">
      <w:pPr>
        <w:jc w:val="both"/>
        <w:rPr>
          <w:rFonts w:eastAsia="Calibri"/>
        </w:rPr>
      </w:pPr>
      <w:r w:rsidRPr="00863723">
        <w:rPr>
          <w:rFonts w:eastAsia="Calibri"/>
        </w:rPr>
        <w:tab/>
      </w:r>
    </w:p>
    <w:p w:rsidR="00DB5D95" w:rsidRDefault="00DB5D95" w:rsidP="005A0527">
      <w:pPr>
        <w:jc w:val="both"/>
        <w:rPr>
          <w:rFonts w:eastAsia="Calibri"/>
        </w:rPr>
      </w:pPr>
      <w:r w:rsidRPr="00863723">
        <w:rPr>
          <w:rFonts w:eastAsia="Calibri"/>
        </w:rPr>
        <w:t>Žalba se izjavljuje preko naručioca neposredno putem ESJN-a. Žalba koja nije podnesena na naprijed predviđeni način biće odbijena kao nedozvoljena. Podnosilac žalbe je dužan da uz žalbu priloži dokaz o uplati naknade za vođenje postupka u iznosu od 1% od procijenjene vrijednosti javne nabavke, a najviše 20.000,00 eura, na žiro račun Komisije za zaštitu prava broj 530-20240-15 kod NLB Montenegro banke A.D.</w:t>
      </w:r>
      <w:r w:rsidR="006C7096" w:rsidRPr="00863723">
        <w:rPr>
          <w:rFonts w:eastAsia="Calibri"/>
        </w:rPr>
        <w:t xml:space="preserve"> </w:t>
      </w:r>
      <w:r w:rsidRPr="00863723">
        <w:rPr>
          <w:rFonts w:eastAsia="Calibri"/>
        </w:rPr>
        <w:t>Ukoliko je predmet nabavke podijeljen po partijama, a žalba se odnosi samo na određenu/e partiju/e, naknada se plaća u iznosu 1% od procijenjene vrijednosti javne nabavke te/tih partije/a.</w:t>
      </w:r>
      <w:r w:rsidR="006C7096" w:rsidRPr="00863723">
        <w:rPr>
          <w:rFonts w:eastAsia="Calibri"/>
        </w:rPr>
        <w:t xml:space="preserve"> </w:t>
      </w:r>
      <w:r w:rsidRPr="00863723">
        <w:rPr>
          <w:rFonts w:eastAsia="Calibri"/>
        </w:rPr>
        <w:t xml:space="preserve">Instrukcije za plaćanje naknade za vođenje postupka od strane žalilaca iz inostranstva nalaze se na internet stranici Komisije za zaštitu prava nabavki </w:t>
      </w:r>
      <w:hyperlink r:id="rId9" w:history="1">
        <w:r w:rsidRPr="00863723">
          <w:rPr>
            <w:rFonts w:eastAsia="Calibri"/>
            <w:color w:val="0000FF"/>
            <w:u w:val="single"/>
          </w:rPr>
          <w:t>http://www.kontrola-nabavki.me/</w:t>
        </w:r>
      </w:hyperlink>
      <w:r w:rsidR="005371BA">
        <w:rPr>
          <w:rFonts w:eastAsia="Calibri"/>
        </w:rPr>
        <w:t>.“</w:t>
      </w:r>
    </w:p>
    <w:p w:rsidR="00560D22" w:rsidRDefault="00560D22" w:rsidP="005A0527">
      <w:pPr>
        <w:jc w:val="both"/>
        <w:rPr>
          <w:rFonts w:eastAsia="Calibri"/>
        </w:rPr>
      </w:pPr>
    </w:p>
    <w:p w:rsidR="0058618A" w:rsidRPr="00863723" w:rsidRDefault="0058618A" w:rsidP="003D3BE4">
      <w:pPr>
        <w:jc w:val="both"/>
        <w:rPr>
          <w:b/>
          <w:lang w:val="sl-SI"/>
        </w:rPr>
      </w:pPr>
    </w:p>
    <w:p w:rsidR="003D3BE4" w:rsidRPr="00863723" w:rsidRDefault="003D3BE4" w:rsidP="003D3BE4">
      <w:pPr>
        <w:pStyle w:val="PlainText"/>
        <w:jc w:val="both"/>
        <w:rPr>
          <w:rFonts w:ascii="Times New Roman" w:hAnsi="Times New Roman"/>
          <w:b/>
          <w:sz w:val="24"/>
          <w:szCs w:val="24"/>
        </w:rPr>
      </w:pPr>
      <w:r w:rsidRPr="00863723">
        <w:rPr>
          <w:rFonts w:ascii="Times New Roman" w:hAnsi="Times New Roman"/>
          <w:sz w:val="24"/>
          <w:szCs w:val="24"/>
        </w:rPr>
        <w:t xml:space="preserve">        </w:t>
      </w:r>
      <w:r w:rsidRPr="00863723">
        <w:rPr>
          <w:rFonts w:ascii="Times New Roman" w:hAnsi="Times New Roman"/>
          <w:b/>
          <w:sz w:val="24"/>
          <w:szCs w:val="24"/>
        </w:rPr>
        <w:t xml:space="preserve">                  </w:t>
      </w:r>
      <w:r w:rsidR="00383E54" w:rsidRPr="00863723">
        <w:rPr>
          <w:rFonts w:ascii="Times New Roman" w:hAnsi="Times New Roman"/>
          <w:b/>
          <w:sz w:val="24"/>
          <w:szCs w:val="24"/>
        </w:rPr>
        <w:t xml:space="preserve">                        </w:t>
      </w:r>
      <w:r w:rsidRPr="00863723">
        <w:rPr>
          <w:rFonts w:ascii="Times New Roman" w:hAnsi="Times New Roman"/>
          <w:b/>
          <w:sz w:val="24"/>
          <w:szCs w:val="24"/>
        </w:rPr>
        <w:t xml:space="preserve">   Ispred Komisije </w:t>
      </w:r>
      <w:r w:rsidR="00E31E4E" w:rsidRPr="00863723">
        <w:rPr>
          <w:rFonts w:ascii="Times New Roman" w:hAnsi="Times New Roman"/>
          <w:b/>
          <w:sz w:val="24"/>
          <w:szCs w:val="24"/>
        </w:rPr>
        <w:t>za sprovođenje postupka javne nabavke</w:t>
      </w:r>
    </w:p>
    <w:p w:rsidR="003D3BE4" w:rsidRPr="00863723" w:rsidRDefault="003D3BE4" w:rsidP="003D3BE4">
      <w:pPr>
        <w:pStyle w:val="PlainText"/>
        <w:jc w:val="both"/>
        <w:rPr>
          <w:rFonts w:ascii="Times New Roman" w:hAnsi="Times New Roman"/>
          <w:sz w:val="24"/>
          <w:szCs w:val="24"/>
        </w:rPr>
      </w:pPr>
      <w:r w:rsidRPr="00863723">
        <w:rPr>
          <w:rFonts w:ascii="Times New Roman" w:hAnsi="Times New Roman"/>
          <w:b/>
          <w:sz w:val="24"/>
          <w:szCs w:val="24"/>
        </w:rPr>
        <w:t xml:space="preserve">     </w:t>
      </w:r>
      <w:r w:rsidRPr="00863723">
        <w:rPr>
          <w:rFonts w:ascii="Times New Roman" w:hAnsi="Times New Roman"/>
          <w:sz w:val="24"/>
          <w:szCs w:val="24"/>
        </w:rPr>
        <w:t>Co:</w:t>
      </w:r>
      <w:r w:rsidRPr="00863723">
        <w:rPr>
          <w:rFonts w:ascii="Times New Roman" w:hAnsi="Times New Roman"/>
          <w:b/>
          <w:sz w:val="24"/>
          <w:szCs w:val="24"/>
        </w:rPr>
        <w:t xml:space="preserve">        </w:t>
      </w:r>
      <w:r w:rsidR="002A7501" w:rsidRPr="00863723">
        <w:rPr>
          <w:rFonts w:ascii="Times New Roman" w:hAnsi="Times New Roman"/>
          <w:b/>
          <w:sz w:val="24"/>
          <w:szCs w:val="24"/>
        </w:rPr>
        <w:t xml:space="preserve">                             </w:t>
      </w:r>
    </w:p>
    <w:p w:rsidR="003D3BE4" w:rsidRPr="00863723" w:rsidRDefault="003D3BE4" w:rsidP="003D3BE4">
      <w:pPr>
        <w:jc w:val="both"/>
        <w:rPr>
          <w:b/>
        </w:rPr>
      </w:pPr>
      <w:r w:rsidRPr="00863723">
        <w:t xml:space="preserve">   - Svim ponuđačima              </w:t>
      </w:r>
      <w:r w:rsidR="00FB07D1" w:rsidRPr="00863723">
        <w:t xml:space="preserve">   </w:t>
      </w:r>
      <w:r w:rsidRPr="00863723">
        <w:t xml:space="preserve">        </w:t>
      </w:r>
      <w:r w:rsidR="003E4761" w:rsidRPr="00863723">
        <w:t xml:space="preserve">                             </w:t>
      </w:r>
    </w:p>
    <w:p w:rsidR="003D3BE4" w:rsidRPr="00863723" w:rsidRDefault="003D3BE4" w:rsidP="003D3BE4">
      <w:pPr>
        <w:jc w:val="both"/>
      </w:pPr>
      <w:r w:rsidRPr="00863723">
        <w:t xml:space="preserve">   - Predsjedavajućem komisije                                         </w:t>
      </w:r>
      <w:r w:rsidR="003E4761" w:rsidRPr="00863723">
        <w:rPr>
          <w:b/>
        </w:rPr>
        <w:t>Predsjedavajući član</w:t>
      </w:r>
    </w:p>
    <w:p w:rsidR="003E4761" w:rsidRPr="00863723" w:rsidRDefault="003D3BE4">
      <w:pPr>
        <w:jc w:val="both"/>
      </w:pPr>
      <w:r w:rsidRPr="00863723">
        <w:t xml:space="preserve">   - a/a                                                                       </w:t>
      </w:r>
      <w:r w:rsidR="00D2667B" w:rsidRPr="00863723">
        <w:t xml:space="preserve">        </w:t>
      </w:r>
      <w:r w:rsidR="009E593C" w:rsidRPr="00863723">
        <w:t xml:space="preserve">    </w:t>
      </w:r>
    </w:p>
    <w:p w:rsidR="00DB5D95" w:rsidRPr="00863723" w:rsidRDefault="003E4761">
      <w:pPr>
        <w:jc w:val="both"/>
        <w:rPr>
          <w:color w:val="000000"/>
        </w:rPr>
      </w:pPr>
      <w:r w:rsidRPr="00863723">
        <w:t xml:space="preserve">                                                                        </w:t>
      </w:r>
      <w:r w:rsidR="00575A2A">
        <w:t xml:space="preserve">         </w:t>
      </w:r>
      <w:r w:rsidR="00E34A01">
        <w:t xml:space="preserve">  </w:t>
      </w:r>
      <w:r w:rsidR="00E34A01">
        <w:rPr>
          <w:b/>
        </w:rPr>
        <w:t>Aleksandar Gagović</w:t>
      </w:r>
      <w:r w:rsidRPr="00863723">
        <w:rPr>
          <w:b/>
        </w:rPr>
        <w:t>, dipl.</w:t>
      </w:r>
      <w:r w:rsidR="00E34A01">
        <w:rPr>
          <w:b/>
        </w:rPr>
        <w:t>pravnik</w:t>
      </w:r>
      <w:r w:rsidR="003D3BE4" w:rsidRPr="00863723">
        <w:t xml:space="preserve"> </w:t>
      </w:r>
    </w:p>
    <w:sectPr w:rsidR="00DB5D95" w:rsidRPr="00863723" w:rsidSect="0049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092" w:rsidRDefault="002A7092" w:rsidP="002C2C3E">
      <w:r>
        <w:separator/>
      </w:r>
    </w:p>
  </w:endnote>
  <w:endnote w:type="continuationSeparator" w:id="0">
    <w:p w:rsidR="002A7092" w:rsidRDefault="002A7092" w:rsidP="002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092" w:rsidRDefault="002A7092" w:rsidP="002C2C3E">
      <w:r>
        <w:separator/>
      </w:r>
    </w:p>
  </w:footnote>
  <w:footnote w:type="continuationSeparator" w:id="0">
    <w:p w:rsidR="002A7092" w:rsidRDefault="002A7092" w:rsidP="002C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B"/>
    <w:multiLevelType w:val="hybridMultilevel"/>
    <w:tmpl w:val="CF3AA2F0"/>
    <w:lvl w:ilvl="0" w:tplc="0944D4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66138"/>
    <w:multiLevelType w:val="hybridMultilevel"/>
    <w:tmpl w:val="8CDC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3"/>
    <w:multiLevelType w:val="hybridMultilevel"/>
    <w:tmpl w:val="CC822CAA"/>
    <w:lvl w:ilvl="0" w:tplc="2CFE88C0">
      <w:start w:val="8"/>
      <w:numFmt w:val="decimal"/>
      <w:lvlText w:val="%1."/>
      <w:lvlJc w:val="left"/>
      <w:pPr>
        <w:ind w:left="777" w:hanging="360"/>
      </w:pPr>
      <w:rPr>
        <w:rFonts w:hint="default"/>
      </w:rPr>
    </w:lvl>
    <w:lvl w:ilvl="1" w:tplc="2C1A0019" w:tentative="1">
      <w:start w:val="1"/>
      <w:numFmt w:val="lowerLetter"/>
      <w:lvlText w:val="%2."/>
      <w:lvlJc w:val="left"/>
      <w:pPr>
        <w:ind w:left="1497" w:hanging="360"/>
      </w:pPr>
    </w:lvl>
    <w:lvl w:ilvl="2" w:tplc="2C1A001B" w:tentative="1">
      <w:start w:val="1"/>
      <w:numFmt w:val="lowerRoman"/>
      <w:lvlText w:val="%3."/>
      <w:lvlJc w:val="right"/>
      <w:pPr>
        <w:ind w:left="2217" w:hanging="180"/>
      </w:pPr>
    </w:lvl>
    <w:lvl w:ilvl="3" w:tplc="2C1A000F" w:tentative="1">
      <w:start w:val="1"/>
      <w:numFmt w:val="decimal"/>
      <w:lvlText w:val="%4."/>
      <w:lvlJc w:val="left"/>
      <w:pPr>
        <w:ind w:left="2937" w:hanging="360"/>
      </w:pPr>
    </w:lvl>
    <w:lvl w:ilvl="4" w:tplc="2C1A0019" w:tentative="1">
      <w:start w:val="1"/>
      <w:numFmt w:val="lowerLetter"/>
      <w:lvlText w:val="%5."/>
      <w:lvlJc w:val="left"/>
      <w:pPr>
        <w:ind w:left="3657" w:hanging="360"/>
      </w:pPr>
    </w:lvl>
    <w:lvl w:ilvl="5" w:tplc="2C1A001B" w:tentative="1">
      <w:start w:val="1"/>
      <w:numFmt w:val="lowerRoman"/>
      <w:lvlText w:val="%6."/>
      <w:lvlJc w:val="right"/>
      <w:pPr>
        <w:ind w:left="4377" w:hanging="180"/>
      </w:pPr>
    </w:lvl>
    <w:lvl w:ilvl="6" w:tplc="2C1A000F" w:tentative="1">
      <w:start w:val="1"/>
      <w:numFmt w:val="decimal"/>
      <w:lvlText w:val="%7."/>
      <w:lvlJc w:val="left"/>
      <w:pPr>
        <w:ind w:left="5097" w:hanging="360"/>
      </w:pPr>
    </w:lvl>
    <w:lvl w:ilvl="7" w:tplc="2C1A0019" w:tentative="1">
      <w:start w:val="1"/>
      <w:numFmt w:val="lowerLetter"/>
      <w:lvlText w:val="%8."/>
      <w:lvlJc w:val="left"/>
      <w:pPr>
        <w:ind w:left="5817" w:hanging="360"/>
      </w:pPr>
    </w:lvl>
    <w:lvl w:ilvl="8" w:tplc="2C1A001B" w:tentative="1">
      <w:start w:val="1"/>
      <w:numFmt w:val="lowerRoman"/>
      <w:lvlText w:val="%9."/>
      <w:lvlJc w:val="right"/>
      <w:pPr>
        <w:ind w:left="6537" w:hanging="180"/>
      </w:pPr>
    </w:lvl>
  </w:abstractNum>
  <w:abstractNum w:abstractNumId="3" w15:restartNumberingAfterBreak="0">
    <w:nsid w:val="0D924D50"/>
    <w:multiLevelType w:val="hybridMultilevel"/>
    <w:tmpl w:val="A444693E"/>
    <w:lvl w:ilvl="0" w:tplc="07EE81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A11212"/>
    <w:multiLevelType w:val="hybridMultilevel"/>
    <w:tmpl w:val="E766F4E2"/>
    <w:lvl w:ilvl="0" w:tplc="917CCA0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1A491846"/>
    <w:multiLevelType w:val="hybridMultilevel"/>
    <w:tmpl w:val="C894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B6AD4"/>
    <w:multiLevelType w:val="hybridMultilevel"/>
    <w:tmpl w:val="7F2AF13A"/>
    <w:lvl w:ilvl="0" w:tplc="725E165E">
      <w:start w:val="8"/>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1F6B0426"/>
    <w:multiLevelType w:val="hybridMultilevel"/>
    <w:tmpl w:val="C6C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60137"/>
    <w:multiLevelType w:val="hybridMultilevel"/>
    <w:tmpl w:val="A87AC56E"/>
    <w:lvl w:ilvl="0" w:tplc="E85A548E">
      <w:start w:val="5"/>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30295"/>
    <w:multiLevelType w:val="hybridMultilevel"/>
    <w:tmpl w:val="FB58F89C"/>
    <w:lvl w:ilvl="0" w:tplc="2C1A0011">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10"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15:restartNumberingAfterBreak="0">
    <w:nsid w:val="325A6CB4"/>
    <w:multiLevelType w:val="hybridMultilevel"/>
    <w:tmpl w:val="85741B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D2583"/>
    <w:multiLevelType w:val="hybridMultilevel"/>
    <w:tmpl w:val="BB4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450D3"/>
    <w:multiLevelType w:val="hybridMultilevel"/>
    <w:tmpl w:val="97CE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D2B61"/>
    <w:multiLevelType w:val="hybridMultilevel"/>
    <w:tmpl w:val="33AEFA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F25BE"/>
    <w:multiLevelType w:val="hybridMultilevel"/>
    <w:tmpl w:val="3C2A8EC8"/>
    <w:lvl w:ilvl="0" w:tplc="00D685A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48465EC5"/>
    <w:multiLevelType w:val="hybridMultilevel"/>
    <w:tmpl w:val="E2882506"/>
    <w:lvl w:ilvl="0" w:tplc="BAD03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A5262"/>
    <w:multiLevelType w:val="hybridMultilevel"/>
    <w:tmpl w:val="65D0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C78BA"/>
    <w:multiLevelType w:val="hybridMultilevel"/>
    <w:tmpl w:val="B1C0925A"/>
    <w:lvl w:ilvl="0" w:tplc="C9AEB2B8">
      <w:start w:val="1"/>
      <w:numFmt w:val="decimal"/>
      <w:lvlText w:val="%1.)"/>
      <w:lvlJc w:val="left"/>
      <w:pPr>
        <w:ind w:left="750" w:hanging="39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A29DE"/>
    <w:multiLevelType w:val="hybridMultilevel"/>
    <w:tmpl w:val="6158F5AC"/>
    <w:lvl w:ilvl="0" w:tplc="2C1A0001">
      <w:start w:val="1"/>
      <w:numFmt w:val="bullet"/>
      <w:lvlText w:val=""/>
      <w:lvlJc w:val="left"/>
      <w:pPr>
        <w:ind w:left="1778" w:hanging="360"/>
      </w:pPr>
      <w:rPr>
        <w:rFonts w:ascii="Symbol" w:hAnsi="Symbol" w:hint="default"/>
      </w:rPr>
    </w:lvl>
    <w:lvl w:ilvl="1" w:tplc="8B04A38A">
      <w:start w:val="11"/>
      <w:numFmt w:val="bullet"/>
      <w:lvlText w:val="-"/>
      <w:lvlJc w:val="left"/>
      <w:pPr>
        <w:ind w:left="2498" w:hanging="360"/>
      </w:pPr>
      <w:rPr>
        <w:rFonts w:ascii="Times New Roman" w:eastAsia="Times New Roman" w:hAnsi="Times New Roman" w:cs="Times New Roman"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21" w15:restartNumberingAfterBreak="0">
    <w:nsid w:val="514808B8"/>
    <w:multiLevelType w:val="hybridMultilevel"/>
    <w:tmpl w:val="D7FA2FE8"/>
    <w:lvl w:ilvl="0" w:tplc="16E6FA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E1F98"/>
    <w:multiLevelType w:val="hybridMultilevel"/>
    <w:tmpl w:val="7FB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A73BC"/>
    <w:multiLevelType w:val="hybridMultilevel"/>
    <w:tmpl w:val="4016F292"/>
    <w:lvl w:ilvl="0" w:tplc="82BE411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7F292A2E"/>
    <w:multiLevelType w:val="hybridMultilevel"/>
    <w:tmpl w:val="C79EA7C2"/>
    <w:lvl w:ilvl="0" w:tplc="BE100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8"/>
  </w:num>
  <w:num w:numId="5">
    <w:abstractNumId w:val="7"/>
  </w:num>
  <w:num w:numId="6">
    <w:abstractNumId w:val="10"/>
  </w:num>
  <w:num w:numId="7">
    <w:abstractNumId w:val="23"/>
  </w:num>
  <w:num w:numId="8">
    <w:abstractNumId w:val="0"/>
  </w:num>
  <w:num w:numId="9">
    <w:abstractNumId w:val="21"/>
  </w:num>
  <w:num w:numId="10">
    <w:abstractNumId w:val="15"/>
  </w:num>
  <w:num w:numId="11">
    <w:abstractNumId w:val="25"/>
  </w:num>
  <w:num w:numId="12">
    <w:abstractNumId w:val="20"/>
  </w:num>
  <w:num w:numId="13">
    <w:abstractNumId w:val="8"/>
  </w:num>
  <w:num w:numId="14">
    <w:abstractNumId w:val="16"/>
  </w:num>
  <w:num w:numId="15">
    <w:abstractNumId w:val="2"/>
  </w:num>
  <w:num w:numId="16">
    <w:abstractNumId w:val="6"/>
  </w:num>
  <w:num w:numId="17">
    <w:abstractNumId w:val="26"/>
  </w:num>
  <w:num w:numId="18">
    <w:abstractNumId w:val="24"/>
  </w:num>
  <w:num w:numId="19">
    <w:abstractNumId w:val="9"/>
  </w:num>
  <w:num w:numId="20">
    <w:abstractNumId w:val="17"/>
  </w:num>
  <w:num w:numId="21">
    <w:abstractNumId w:val="19"/>
  </w:num>
  <w:num w:numId="22">
    <w:abstractNumId w:val="1"/>
  </w:num>
  <w:num w:numId="23">
    <w:abstractNumId w:val="14"/>
  </w:num>
  <w:num w:numId="24">
    <w:abstractNumId w:val="11"/>
  </w:num>
  <w:num w:numId="25">
    <w:abstractNumId w:val="3"/>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83"/>
    <w:rsid w:val="00005449"/>
    <w:rsid w:val="00014007"/>
    <w:rsid w:val="00015A06"/>
    <w:rsid w:val="00025E1A"/>
    <w:rsid w:val="000267CB"/>
    <w:rsid w:val="000305B9"/>
    <w:rsid w:val="000354A2"/>
    <w:rsid w:val="000366C2"/>
    <w:rsid w:val="00040E16"/>
    <w:rsid w:val="00042F7D"/>
    <w:rsid w:val="00054897"/>
    <w:rsid w:val="000573BD"/>
    <w:rsid w:val="0006040E"/>
    <w:rsid w:val="00063224"/>
    <w:rsid w:val="00066680"/>
    <w:rsid w:val="000760F1"/>
    <w:rsid w:val="00076A31"/>
    <w:rsid w:val="00086DD0"/>
    <w:rsid w:val="00087855"/>
    <w:rsid w:val="000925AF"/>
    <w:rsid w:val="000951D4"/>
    <w:rsid w:val="000B13A8"/>
    <w:rsid w:val="000B3968"/>
    <w:rsid w:val="000B6303"/>
    <w:rsid w:val="000C3A06"/>
    <w:rsid w:val="000C65A8"/>
    <w:rsid w:val="000D24A4"/>
    <w:rsid w:val="000D4F2F"/>
    <w:rsid w:val="000E0937"/>
    <w:rsid w:val="000E0CD0"/>
    <w:rsid w:val="000E445C"/>
    <w:rsid w:val="000F0566"/>
    <w:rsid w:val="001014FD"/>
    <w:rsid w:val="001018CC"/>
    <w:rsid w:val="00106C55"/>
    <w:rsid w:val="0010797F"/>
    <w:rsid w:val="00114B53"/>
    <w:rsid w:val="00117E31"/>
    <w:rsid w:val="0012015E"/>
    <w:rsid w:val="00124A28"/>
    <w:rsid w:val="00124BE7"/>
    <w:rsid w:val="001269FE"/>
    <w:rsid w:val="00134AA1"/>
    <w:rsid w:val="0013697C"/>
    <w:rsid w:val="00140A2E"/>
    <w:rsid w:val="001466FF"/>
    <w:rsid w:val="00146933"/>
    <w:rsid w:val="00150423"/>
    <w:rsid w:val="00156B72"/>
    <w:rsid w:val="001606FB"/>
    <w:rsid w:val="00163FBE"/>
    <w:rsid w:val="00164BE7"/>
    <w:rsid w:val="00166CFA"/>
    <w:rsid w:val="0016791D"/>
    <w:rsid w:val="00170784"/>
    <w:rsid w:val="0019401E"/>
    <w:rsid w:val="0019411B"/>
    <w:rsid w:val="001A0261"/>
    <w:rsid w:val="001B057A"/>
    <w:rsid w:val="001B113F"/>
    <w:rsid w:val="001B7D08"/>
    <w:rsid w:val="001C3CE3"/>
    <w:rsid w:val="001C6116"/>
    <w:rsid w:val="001D55E3"/>
    <w:rsid w:val="001D7489"/>
    <w:rsid w:val="001F32FB"/>
    <w:rsid w:val="001F3490"/>
    <w:rsid w:val="001F3614"/>
    <w:rsid w:val="001F3844"/>
    <w:rsid w:val="0020740B"/>
    <w:rsid w:val="002079D2"/>
    <w:rsid w:val="00211D81"/>
    <w:rsid w:val="0022438A"/>
    <w:rsid w:val="00236922"/>
    <w:rsid w:val="002419D4"/>
    <w:rsid w:val="00241A8A"/>
    <w:rsid w:val="00244FF2"/>
    <w:rsid w:val="00246EE3"/>
    <w:rsid w:val="00252676"/>
    <w:rsid w:val="00252D80"/>
    <w:rsid w:val="002539FA"/>
    <w:rsid w:val="00272A43"/>
    <w:rsid w:val="00276C70"/>
    <w:rsid w:val="00280382"/>
    <w:rsid w:val="00283BC7"/>
    <w:rsid w:val="00283C83"/>
    <w:rsid w:val="002858BF"/>
    <w:rsid w:val="00287368"/>
    <w:rsid w:val="002877F2"/>
    <w:rsid w:val="00290E15"/>
    <w:rsid w:val="00292F5A"/>
    <w:rsid w:val="00295659"/>
    <w:rsid w:val="0029565A"/>
    <w:rsid w:val="002A2EC1"/>
    <w:rsid w:val="002A6C67"/>
    <w:rsid w:val="002A6F96"/>
    <w:rsid w:val="002A7092"/>
    <w:rsid w:val="002A7501"/>
    <w:rsid w:val="002C0D32"/>
    <w:rsid w:val="002C2C3E"/>
    <w:rsid w:val="002C4015"/>
    <w:rsid w:val="002C7CB8"/>
    <w:rsid w:val="002C7E5E"/>
    <w:rsid w:val="002D59E9"/>
    <w:rsid w:val="002E06A0"/>
    <w:rsid w:val="002E473A"/>
    <w:rsid w:val="002E6404"/>
    <w:rsid w:val="002F21DE"/>
    <w:rsid w:val="002F3167"/>
    <w:rsid w:val="002F70DB"/>
    <w:rsid w:val="00301784"/>
    <w:rsid w:val="00301B84"/>
    <w:rsid w:val="00303B9D"/>
    <w:rsid w:val="003076D9"/>
    <w:rsid w:val="00312B3A"/>
    <w:rsid w:val="00313F63"/>
    <w:rsid w:val="00314206"/>
    <w:rsid w:val="00314C65"/>
    <w:rsid w:val="0032794E"/>
    <w:rsid w:val="00331722"/>
    <w:rsid w:val="00332EFA"/>
    <w:rsid w:val="00333B4A"/>
    <w:rsid w:val="00333CA6"/>
    <w:rsid w:val="00341A6A"/>
    <w:rsid w:val="00347DEA"/>
    <w:rsid w:val="00356215"/>
    <w:rsid w:val="00356E9A"/>
    <w:rsid w:val="00361313"/>
    <w:rsid w:val="003614CD"/>
    <w:rsid w:val="003705D6"/>
    <w:rsid w:val="00371327"/>
    <w:rsid w:val="00372EE5"/>
    <w:rsid w:val="00374AE3"/>
    <w:rsid w:val="00374DE9"/>
    <w:rsid w:val="00375888"/>
    <w:rsid w:val="00383E54"/>
    <w:rsid w:val="003845AE"/>
    <w:rsid w:val="0038535A"/>
    <w:rsid w:val="00393E3C"/>
    <w:rsid w:val="003944C1"/>
    <w:rsid w:val="00395D26"/>
    <w:rsid w:val="00396F51"/>
    <w:rsid w:val="003979C0"/>
    <w:rsid w:val="003A56BC"/>
    <w:rsid w:val="003B04CD"/>
    <w:rsid w:val="003B6083"/>
    <w:rsid w:val="003B6C7C"/>
    <w:rsid w:val="003C4BAA"/>
    <w:rsid w:val="003D3B59"/>
    <w:rsid w:val="003D3BE4"/>
    <w:rsid w:val="003D736A"/>
    <w:rsid w:val="003E4610"/>
    <w:rsid w:val="003E4761"/>
    <w:rsid w:val="003E5702"/>
    <w:rsid w:val="003F0D8F"/>
    <w:rsid w:val="004016D0"/>
    <w:rsid w:val="00403AF5"/>
    <w:rsid w:val="00407288"/>
    <w:rsid w:val="00411045"/>
    <w:rsid w:val="0042336F"/>
    <w:rsid w:val="00427860"/>
    <w:rsid w:val="00435333"/>
    <w:rsid w:val="004404B6"/>
    <w:rsid w:val="0045047A"/>
    <w:rsid w:val="00456560"/>
    <w:rsid w:val="0045713B"/>
    <w:rsid w:val="00463CAD"/>
    <w:rsid w:val="00465F5D"/>
    <w:rsid w:val="004672DD"/>
    <w:rsid w:val="004738C5"/>
    <w:rsid w:val="00481805"/>
    <w:rsid w:val="004850A1"/>
    <w:rsid w:val="004852D1"/>
    <w:rsid w:val="00485D58"/>
    <w:rsid w:val="004926F2"/>
    <w:rsid w:val="004930BC"/>
    <w:rsid w:val="0049539C"/>
    <w:rsid w:val="00497DA9"/>
    <w:rsid w:val="004A1674"/>
    <w:rsid w:val="004B38E2"/>
    <w:rsid w:val="004B5594"/>
    <w:rsid w:val="004C3DF5"/>
    <w:rsid w:val="004C4B17"/>
    <w:rsid w:val="004C4DB9"/>
    <w:rsid w:val="004C7F99"/>
    <w:rsid w:val="004D320C"/>
    <w:rsid w:val="004E1F68"/>
    <w:rsid w:val="004E2F35"/>
    <w:rsid w:val="004E3DFA"/>
    <w:rsid w:val="004E52E1"/>
    <w:rsid w:val="004E6EDA"/>
    <w:rsid w:val="004F0FE0"/>
    <w:rsid w:val="00500067"/>
    <w:rsid w:val="005011D1"/>
    <w:rsid w:val="00503143"/>
    <w:rsid w:val="00503EC2"/>
    <w:rsid w:val="00504AFB"/>
    <w:rsid w:val="00505BD7"/>
    <w:rsid w:val="00507AE3"/>
    <w:rsid w:val="00513AE5"/>
    <w:rsid w:val="00515AAE"/>
    <w:rsid w:val="00520181"/>
    <w:rsid w:val="00521A84"/>
    <w:rsid w:val="00521DFD"/>
    <w:rsid w:val="005279B2"/>
    <w:rsid w:val="005322E8"/>
    <w:rsid w:val="00536422"/>
    <w:rsid w:val="005371BA"/>
    <w:rsid w:val="00540F2F"/>
    <w:rsid w:val="005436D8"/>
    <w:rsid w:val="005456A2"/>
    <w:rsid w:val="00550AD1"/>
    <w:rsid w:val="00560D22"/>
    <w:rsid w:val="00560DA5"/>
    <w:rsid w:val="005655DE"/>
    <w:rsid w:val="005678F9"/>
    <w:rsid w:val="0057553C"/>
    <w:rsid w:val="00575A2A"/>
    <w:rsid w:val="00584689"/>
    <w:rsid w:val="00585AD6"/>
    <w:rsid w:val="0058618A"/>
    <w:rsid w:val="00592530"/>
    <w:rsid w:val="0059351C"/>
    <w:rsid w:val="00595B0E"/>
    <w:rsid w:val="005A030D"/>
    <w:rsid w:val="005A0527"/>
    <w:rsid w:val="005A0EA8"/>
    <w:rsid w:val="005A209B"/>
    <w:rsid w:val="005A33B8"/>
    <w:rsid w:val="005B22E8"/>
    <w:rsid w:val="005C165A"/>
    <w:rsid w:val="005C4964"/>
    <w:rsid w:val="005C5473"/>
    <w:rsid w:val="005C58A4"/>
    <w:rsid w:val="005D10E6"/>
    <w:rsid w:val="005D311E"/>
    <w:rsid w:val="005D374D"/>
    <w:rsid w:val="005D4CAA"/>
    <w:rsid w:val="00600DE3"/>
    <w:rsid w:val="00601141"/>
    <w:rsid w:val="00606DF5"/>
    <w:rsid w:val="00607203"/>
    <w:rsid w:val="0061064C"/>
    <w:rsid w:val="00610E9D"/>
    <w:rsid w:val="00613B84"/>
    <w:rsid w:val="00626192"/>
    <w:rsid w:val="0063485A"/>
    <w:rsid w:val="0063746A"/>
    <w:rsid w:val="006419F5"/>
    <w:rsid w:val="0064593C"/>
    <w:rsid w:val="00647AE7"/>
    <w:rsid w:val="0066268E"/>
    <w:rsid w:val="00663243"/>
    <w:rsid w:val="0066679E"/>
    <w:rsid w:val="00666A70"/>
    <w:rsid w:val="0067016F"/>
    <w:rsid w:val="006746FB"/>
    <w:rsid w:val="00677BFF"/>
    <w:rsid w:val="00683A81"/>
    <w:rsid w:val="006905A5"/>
    <w:rsid w:val="0069064E"/>
    <w:rsid w:val="00692E70"/>
    <w:rsid w:val="0069457B"/>
    <w:rsid w:val="0069500D"/>
    <w:rsid w:val="006A3253"/>
    <w:rsid w:val="006A51EB"/>
    <w:rsid w:val="006A6E93"/>
    <w:rsid w:val="006B252E"/>
    <w:rsid w:val="006C0556"/>
    <w:rsid w:val="006C08AB"/>
    <w:rsid w:val="006C527E"/>
    <w:rsid w:val="006C5AEE"/>
    <w:rsid w:val="006C5FF4"/>
    <w:rsid w:val="006C7096"/>
    <w:rsid w:val="006D1B07"/>
    <w:rsid w:val="006D2A54"/>
    <w:rsid w:val="006E250D"/>
    <w:rsid w:val="006F66DD"/>
    <w:rsid w:val="00704642"/>
    <w:rsid w:val="007049D8"/>
    <w:rsid w:val="007109DB"/>
    <w:rsid w:val="007148DD"/>
    <w:rsid w:val="00720CC8"/>
    <w:rsid w:val="00721B4B"/>
    <w:rsid w:val="00722D2A"/>
    <w:rsid w:val="0072303D"/>
    <w:rsid w:val="00742015"/>
    <w:rsid w:val="00742500"/>
    <w:rsid w:val="00742CDE"/>
    <w:rsid w:val="00743382"/>
    <w:rsid w:val="007521D1"/>
    <w:rsid w:val="00754038"/>
    <w:rsid w:val="00761897"/>
    <w:rsid w:val="00783191"/>
    <w:rsid w:val="007A237A"/>
    <w:rsid w:val="007A368E"/>
    <w:rsid w:val="007A3E6B"/>
    <w:rsid w:val="007A4214"/>
    <w:rsid w:val="007A5811"/>
    <w:rsid w:val="007A7974"/>
    <w:rsid w:val="007B2711"/>
    <w:rsid w:val="007B682B"/>
    <w:rsid w:val="007B71DC"/>
    <w:rsid w:val="007C02CE"/>
    <w:rsid w:val="007C75D9"/>
    <w:rsid w:val="007D1928"/>
    <w:rsid w:val="007D38E3"/>
    <w:rsid w:val="007D41B4"/>
    <w:rsid w:val="007D6A13"/>
    <w:rsid w:val="007D6DF2"/>
    <w:rsid w:val="007D7A0E"/>
    <w:rsid w:val="007E65BF"/>
    <w:rsid w:val="007F08DE"/>
    <w:rsid w:val="007F2BB7"/>
    <w:rsid w:val="008024D8"/>
    <w:rsid w:val="00802F34"/>
    <w:rsid w:val="00816955"/>
    <w:rsid w:val="008237B1"/>
    <w:rsid w:val="00823E4D"/>
    <w:rsid w:val="00826FF3"/>
    <w:rsid w:val="00827936"/>
    <w:rsid w:val="008347F4"/>
    <w:rsid w:val="00834851"/>
    <w:rsid w:val="00835DC9"/>
    <w:rsid w:val="00836DEF"/>
    <w:rsid w:val="00840CE4"/>
    <w:rsid w:val="008434E6"/>
    <w:rsid w:val="008450E4"/>
    <w:rsid w:val="0084654A"/>
    <w:rsid w:val="00851B37"/>
    <w:rsid w:val="00861EC4"/>
    <w:rsid w:val="00863723"/>
    <w:rsid w:val="008663A9"/>
    <w:rsid w:val="00866EB9"/>
    <w:rsid w:val="00870975"/>
    <w:rsid w:val="00871EF9"/>
    <w:rsid w:val="008744B5"/>
    <w:rsid w:val="00875240"/>
    <w:rsid w:val="00881C96"/>
    <w:rsid w:val="00882C44"/>
    <w:rsid w:val="0088305D"/>
    <w:rsid w:val="00886BF0"/>
    <w:rsid w:val="0088779C"/>
    <w:rsid w:val="008969DC"/>
    <w:rsid w:val="00896D01"/>
    <w:rsid w:val="00897B9E"/>
    <w:rsid w:val="008A0FFA"/>
    <w:rsid w:val="008A2990"/>
    <w:rsid w:val="008A29DB"/>
    <w:rsid w:val="008A2FC7"/>
    <w:rsid w:val="008A5540"/>
    <w:rsid w:val="008A7E9C"/>
    <w:rsid w:val="008B4C81"/>
    <w:rsid w:val="008B78B0"/>
    <w:rsid w:val="008C5E68"/>
    <w:rsid w:val="008D7059"/>
    <w:rsid w:val="008E3265"/>
    <w:rsid w:val="008E4B49"/>
    <w:rsid w:val="008E4D69"/>
    <w:rsid w:val="008E57D5"/>
    <w:rsid w:val="008E78F9"/>
    <w:rsid w:val="00901C5E"/>
    <w:rsid w:val="009040C5"/>
    <w:rsid w:val="009077C7"/>
    <w:rsid w:val="0091112C"/>
    <w:rsid w:val="0091457F"/>
    <w:rsid w:val="009221C2"/>
    <w:rsid w:val="00925D3E"/>
    <w:rsid w:val="00932815"/>
    <w:rsid w:val="00943FA7"/>
    <w:rsid w:val="009460E8"/>
    <w:rsid w:val="0095753E"/>
    <w:rsid w:val="0096510A"/>
    <w:rsid w:val="00985C67"/>
    <w:rsid w:val="0098742B"/>
    <w:rsid w:val="00991460"/>
    <w:rsid w:val="00993BCE"/>
    <w:rsid w:val="009A4CD4"/>
    <w:rsid w:val="009B4E34"/>
    <w:rsid w:val="009C2F5B"/>
    <w:rsid w:val="009C5229"/>
    <w:rsid w:val="009D1C7E"/>
    <w:rsid w:val="009D2CAA"/>
    <w:rsid w:val="009D70F5"/>
    <w:rsid w:val="009D75C9"/>
    <w:rsid w:val="009D7CCF"/>
    <w:rsid w:val="009E593C"/>
    <w:rsid w:val="009E5F9B"/>
    <w:rsid w:val="009F2369"/>
    <w:rsid w:val="00A11C6C"/>
    <w:rsid w:val="00A15A22"/>
    <w:rsid w:val="00A15AC6"/>
    <w:rsid w:val="00A34A60"/>
    <w:rsid w:val="00A372DD"/>
    <w:rsid w:val="00A43A4F"/>
    <w:rsid w:val="00A639EA"/>
    <w:rsid w:val="00A640E7"/>
    <w:rsid w:val="00A71689"/>
    <w:rsid w:val="00A75D10"/>
    <w:rsid w:val="00A810AB"/>
    <w:rsid w:val="00A91511"/>
    <w:rsid w:val="00AA3333"/>
    <w:rsid w:val="00AA4224"/>
    <w:rsid w:val="00AA6320"/>
    <w:rsid w:val="00AB25A1"/>
    <w:rsid w:val="00AB409D"/>
    <w:rsid w:val="00AB4E31"/>
    <w:rsid w:val="00AC1AE8"/>
    <w:rsid w:val="00AC683D"/>
    <w:rsid w:val="00AC7ADA"/>
    <w:rsid w:val="00AD0CA9"/>
    <w:rsid w:val="00AD207E"/>
    <w:rsid w:val="00AD75CD"/>
    <w:rsid w:val="00AE211F"/>
    <w:rsid w:val="00AE21C8"/>
    <w:rsid w:val="00AE7F6D"/>
    <w:rsid w:val="00AF1E62"/>
    <w:rsid w:val="00B071A4"/>
    <w:rsid w:val="00B12FCA"/>
    <w:rsid w:val="00B16AA2"/>
    <w:rsid w:val="00B17A00"/>
    <w:rsid w:val="00B2068A"/>
    <w:rsid w:val="00B21196"/>
    <w:rsid w:val="00B268EC"/>
    <w:rsid w:val="00B26BEE"/>
    <w:rsid w:val="00B30043"/>
    <w:rsid w:val="00B328C6"/>
    <w:rsid w:val="00B33A5B"/>
    <w:rsid w:val="00B33B75"/>
    <w:rsid w:val="00B412A0"/>
    <w:rsid w:val="00B5000F"/>
    <w:rsid w:val="00B55ACE"/>
    <w:rsid w:val="00B57A3F"/>
    <w:rsid w:val="00B76239"/>
    <w:rsid w:val="00B77C2A"/>
    <w:rsid w:val="00B80DFC"/>
    <w:rsid w:val="00B86775"/>
    <w:rsid w:val="00B90094"/>
    <w:rsid w:val="00B93CFC"/>
    <w:rsid w:val="00B9527A"/>
    <w:rsid w:val="00B9658A"/>
    <w:rsid w:val="00BA357E"/>
    <w:rsid w:val="00BB09A6"/>
    <w:rsid w:val="00BC6ACA"/>
    <w:rsid w:val="00BC7C23"/>
    <w:rsid w:val="00BD0F87"/>
    <w:rsid w:val="00BD39F5"/>
    <w:rsid w:val="00BD7D44"/>
    <w:rsid w:val="00BE6D00"/>
    <w:rsid w:val="00BE6D12"/>
    <w:rsid w:val="00BF5501"/>
    <w:rsid w:val="00BF58EF"/>
    <w:rsid w:val="00C0088A"/>
    <w:rsid w:val="00C015F6"/>
    <w:rsid w:val="00C11AFD"/>
    <w:rsid w:val="00C149E0"/>
    <w:rsid w:val="00C15442"/>
    <w:rsid w:val="00C22324"/>
    <w:rsid w:val="00C23331"/>
    <w:rsid w:val="00C2761E"/>
    <w:rsid w:val="00C35225"/>
    <w:rsid w:val="00C35E69"/>
    <w:rsid w:val="00C461BB"/>
    <w:rsid w:val="00C54754"/>
    <w:rsid w:val="00C65266"/>
    <w:rsid w:val="00C67403"/>
    <w:rsid w:val="00C851FE"/>
    <w:rsid w:val="00C86F00"/>
    <w:rsid w:val="00C87CCF"/>
    <w:rsid w:val="00C9735D"/>
    <w:rsid w:val="00CA0C29"/>
    <w:rsid w:val="00CA1D3C"/>
    <w:rsid w:val="00CA2A4B"/>
    <w:rsid w:val="00CA4C32"/>
    <w:rsid w:val="00CA70A0"/>
    <w:rsid w:val="00CB2A9A"/>
    <w:rsid w:val="00CB4CBC"/>
    <w:rsid w:val="00CB50A7"/>
    <w:rsid w:val="00CC5D45"/>
    <w:rsid w:val="00CD2642"/>
    <w:rsid w:val="00CE154D"/>
    <w:rsid w:val="00CE7FE2"/>
    <w:rsid w:val="00CF3211"/>
    <w:rsid w:val="00D01496"/>
    <w:rsid w:val="00D05C18"/>
    <w:rsid w:val="00D13AEE"/>
    <w:rsid w:val="00D20330"/>
    <w:rsid w:val="00D21A1A"/>
    <w:rsid w:val="00D23DD1"/>
    <w:rsid w:val="00D2667B"/>
    <w:rsid w:val="00D32E78"/>
    <w:rsid w:val="00D40A7A"/>
    <w:rsid w:val="00D47A38"/>
    <w:rsid w:val="00D504AA"/>
    <w:rsid w:val="00D51B0E"/>
    <w:rsid w:val="00D56A72"/>
    <w:rsid w:val="00D57139"/>
    <w:rsid w:val="00D601F7"/>
    <w:rsid w:val="00D649BC"/>
    <w:rsid w:val="00D65BC7"/>
    <w:rsid w:val="00D7066D"/>
    <w:rsid w:val="00D85170"/>
    <w:rsid w:val="00D960DB"/>
    <w:rsid w:val="00DA3BBC"/>
    <w:rsid w:val="00DA726C"/>
    <w:rsid w:val="00DB0E62"/>
    <w:rsid w:val="00DB5D95"/>
    <w:rsid w:val="00DB7C74"/>
    <w:rsid w:val="00DC1E62"/>
    <w:rsid w:val="00DC48FE"/>
    <w:rsid w:val="00DC4F7D"/>
    <w:rsid w:val="00DD0865"/>
    <w:rsid w:val="00DD5962"/>
    <w:rsid w:val="00DD617A"/>
    <w:rsid w:val="00DE2CBD"/>
    <w:rsid w:val="00DF297D"/>
    <w:rsid w:val="00DF69CB"/>
    <w:rsid w:val="00E000DB"/>
    <w:rsid w:val="00E00C6D"/>
    <w:rsid w:val="00E07A75"/>
    <w:rsid w:val="00E129AA"/>
    <w:rsid w:val="00E12BB5"/>
    <w:rsid w:val="00E16A97"/>
    <w:rsid w:val="00E171A6"/>
    <w:rsid w:val="00E25863"/>
    <w:rsid w:val="00E26271"/>
    <w:rsid w:val="00E266F8"/>
    <w:rsid w:val="00E31E4E"/>
    <w:rsid w:val="00E33E5E"/>
    <w:rsid w:val="00E34A01"/>
    <w:rsid w:val="00E37C1D"/>
    <w:rsid w:val="00E44E78"/>
    <w:rsid w:val="00E450CE"/>
    <w:rsid w:val="00E470FA"/>
    <w:rsid w:val="00E47E59"/>
    <w:rsid w:val="00E53D89"/>
    <w:rsid w:val="00E64759"/>
    <w:rsid w:val="00E65DC1"/>
    <w:rsid w:val="00E66A1E"/>
    <w:rsid w:val="00E70D80"/>
    <w:rsid w:val="00E75F84"/>
    <w:rsid w:val="00E81859"/>
    <w:rsid w:val="00E86E05"/>
    <w:rsid w:val="00E91930"/>
    <w:rsid w:val="00EA7F4B"/>
    <w:rsid w:val="00EC099E"/>
    <w:rsid w:val="00EC09FF"/>
    <w:rsid w:val="00ED2524"/>
    <w:rsid w:val="00ED3E5E"/>
    <w:rsid w:val="00EE204A"/>
    <w:rsid w:val="00EE45A5"/>
    <w:rsid w:val="00EE601B"/>
    <w:rsid w:val="00EF091A"/>
    <w:rsid w:val="00EF3C76"/>
    <w:rsid w:val="00EF6561"/>
    <w:rsid w:val="00F00907"/>
    <w:rsid w:val="00F03C69"/>
    <w:rsid w:val="00F11C7E"/>
    <w:rsid w:val="00F2407D"/>
    <w:rsid w:val="00F279BF"/>
    <w:rsid w:val="00F34F38"/>
    <w:rsid w:val="00F45B3D"/>
    <w:rsid w:val="00F45C9A"/>
    <w:rsid w:val="00F4796A"/>
    <w:rsid w:val="00F512E0"/>
    <w:rsid w:val="00F51DB8"/>
    <w:rsid w:val="00F529C7"/>
    <w:rsid w:val="00F604B3"/>
    <w:rsid w:val="00F72173"/>
    <w:rsid w:val="00F7636F"/>
    <w:rsid w:val="00F83BC2"/>
    <w:rsid w:val="00F8545B"/>
    <w:rsid w:val="00F95E86"/>
    <w:rsid w:val="00F97674"/>
    <w:rsid w:val="00FA0D3F"/>
    <w:rsid w:val="00FB07D1"/>
    <w:rsid w:val="00FB2B74"/>
    <w:rsid w:val="00FB606A"/>
    <w:rsid w:val="00FB76A0"/>
    <w:rsid w:val="00FC1AA8"/>
    <w:rsid w:val="00FC1D45"/>
    <w:rsid w:val="00FC2B8D"/>
    <w:rsid w:val="00FD1772"/>
    <w:rsid w:val="00FD4A8C"/>
    <w:rsid w:val="00FD5448"/>
    <w:rsid w:val="00FE2FEC"/>
    <w:rsid w:val="00FE5FDE"/>
    <w:rsid w:val="00FF079D"/>
    <w:rsid w:val="00FF094B"/>
    <w:rsid w:val="00FF3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6351"/>
  <w15:chartTrackingRefBased/>
  <w15:docId w15:val="{C47C1DDD-9365-4182-8F5B-3953CEB9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3BE4"/>
    <w:pPr>
      <w:keepNext/>
      <w:outlineLvl w:val="1"/>
    </w:pPr>
    <w:rPr>
      <w:rFonts w:ascii="Arial Narrow" w:hAnsi="Arial Narrow" w:cs="Arial"/>
      <w:b/>
      <w:bCs/>
      <w:lang w:val="sl-SI"/>
    </w:rPr>
  </w:style>
  <w:style w:type="paragraph" w:styleId="Heading3">
    <w:name w:val="heading 3"/>
    <w:basedOn w:val="Normal"/>
    <w:next w:val="Normal"/>
    <w:link w:val="Heading3Char"/>
    <w:uiPriority w:val="9"/>
    <w:unhideWhenUsed/>
    <w:qFormat/>
    <w:rsid w:val="003979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
    <w:basedOn w:val="Normal"/>
    <w:link w:val="ListParagraphChar"/>
    <w:uiPriority w:val="34"/>
    <w:qFormat/>
    <w:rsid w:val="00BC7C23"/>
    <w:pPr>
      <w:ind w:left="720"/>
      <w:contextualSpacing/>
    </w:pPr>
  </w:style>
  <w:style w:type="character" w:customStyle="1" w:styleId="Heading2Char">
    <w:name w:val="Heading 2 Char"/>
    <w:basedOn w:val="DefaultParagraphFont"/>
    <w:link w:val="Heading2"/>
    <w:rsid w:val="003D3BE4"/>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3D3BE4"/>
    <w:rPr>
      <w:rFonts w:ascii="Calibri" w:eastAsia="Calibri" w:hAnsi="Calibri"/>
      <w:sz w:val="22"/>
      <w:szCs w:val="21"/>
    </w:rPr>
  </w:style>
  <w:style w:type="character" w:customStyle="1" w:styleId="PlainTextChar">
    <w:name w:val="Plain Text Char"/>
    <w:basedOn w:val="DefaultParagraphFont"/>
    <w:link w:val="PlainText"/>
    <w:uiPriority w:val="99"/>
    <w:rsid w:val="003D3BE4"/>
    <w:rPr>
      <w:rFonts w:ascii="Calibri" w:eastAsia="Calibri" w:hAnsi="Calibri" w:cs="Times New Roman"/>
      <w:szCs w:val="21"/>
      <w:lang w:val="en-US"/>
    </w:rPr>
  </w:style>
  <w:style w:type="paragraph" w:styleId="FootnoteText">
    <w:name w:val="footnote text"/>
    <w:basedOn w:val="Normal"/>
    <w:link w:val="FootnoteTextChar"/>
    <w:uiPriority w:val="99"/>
    <w:rsid w:val="002C2C3E"/>
    <w:rPr>
      <w:rFonts w:ascii="Calibri" w:eastAsia="PMingLiU" w:hAnsi="Calibri"/>
      <w:sz w:val="20"/>
      <w:szCs w:val="20"/>
      <w:lang w:eastAsia="zh-TW"/>
    </w:rPr>
  </w:style>
  <w:style w:type="character" w:customStyle="1" w:styleId="FootnoteTextChar">
    <w:name w:val="Footnote Text Char"/>
    <w:basedOn w:val="DefaultParagraphFont"/>
    <w:link w:val="FootnoteText"/>
    <w:uiPriority w:val="99"/>
    <w:rsid w:val="002C2C3E"/>
    <w:rPr>
      <w:rFonts w:ascii="Calibri" w:eastAsia="PMingLiU" w:hAnsi="Calibri" w:cs="Times New Roman"/>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qFormat/>
    <w:rsid w:val="002C2C3E"/>
    <w:rPr>
      <w:vertAlign w:val="superscript"/>
    </w:rPr>
  </w:style>
  <w:style w:type="paragraph" w:styleId="NormalWeb">
    <w:name w:val="Normal (Web)"/>
    <w:basedOn w:val="Normal"/>
    <w:uiPriority w:val="99"/>
    <w:unhideWhenUsed/>
    <w:rsid w:val="0095753E"/>
    <w:rPr>
      <w:rFonts w:eastAsiaTheme="minorHAnsi"/>
      <w:color w:val="000000"/>
      <w:lang w:val="en-GB" w:eastAsia="en-GB"/>
    </w:rPr>
  </w:style>
  <w:style w:type="character" w:customStyle="1" w:styleId="ListParagraphChar">
    <w:name w:val="List Paragraph Char"/>
    <w:aliases w:val="Liste 1 Char,List Paragraph1 Char"/>
    <w:link w:val="ListParagraph"/>
    <w:uiPriority w:val="34"/>
    <w:qFormat/>
    <w:rsid w:val="00241A8A"/>
    <w:rPr>
      <w:rFonts w:ascii="Times New Roman" w:eastAsia="Times New Roman" w:hAnsi="Times New Roman" w:cs="Times New Roman"/>
      <w:sz w:val="24"/>
      <w:szCs w:val="24"/>
      <w:lang w:val="en-US"/>
    </w:rPr>
  </w:style>
  <w:style w:type="paragraph" w:styleId="NoSpacing">
    <w:name w:val="No Spacing"/>
    <w:uiPriority w:val="1"/>
    <w:qFormat/>
    <w:rsid w:val="00B12FCA"/>
    <w:pPr>
      <w:spacing w:after="0" w:line="240" w:lineRule="auto"/>
    </w:pPr>
    <w:rPr>
      <w:rFonts w:ascii="Calibri" w:eastAsia="Times New Roman" w:hAnsi="Calibri" w:cs="Calibri"/>
      <w:lang w:val="en-US"/>
    </w:rPr>
  </w:style>
  <w:style w:type="character" w:styleId="Hyperlink">
    <w:name w:val="Hyperlink"/>
    <w:basedOn w:val="DefaultParagraphFont"/>
    <w:uiPriority w:val="99"/>
    <w:unhideWhenUsed/>
    <w:rsid w:val="00BD39F5"/>
    <w:rPr>
      <w:color w:val="0000FF"/>
      <w:u w:val="single"/>
    </w:rPr>
  </w:style>
  <w:style w:type="character" w:customStyle="1" w:styleId="downloadlinklink">
    <w:name w:val="download_link_link"/>
    <w:basedOn w:val="DefaultParagraphFont"/>
    <w:rsid w:val="00BD39F5"/>
  </w:style>
  <w:style w:type="character" w:styleId="FollowedHyperlink">
    <w:name w:val="FollowedHyperlink"/>
    <w:basedOn w:val="DefaultParagraphFont"/>
    <w:uiPriority w:val="99"/>
    <w:semiHidden/>
    <w:unhideWhenUsed/>
    <w:rsid w:val="00BD39F5"/>
    <w:rPr>
      <w:color w:val="954F72" w:themeColor="followedHyperlink"/>
      <w:u w:val="single"/>
    </w:rPr>
  </w:style>
  <w:style w:type="paragraph" w:styleId="BalloonText">
    <w:name w:val="Balloon Text"/>
    <w:basedOn w:val="Normal"/>
    <w:link w:val="BalloonTextChar"/>
    <w:uiPriority w:val="99"/>
    <w:semiHidden/>
    <w:unhideWhenUsed/>
    <w:rsid w:val="00C15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42"/>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rsid w:val="003979C0"/>
    <w:rPr>
      <w:rFonts w:asciiTheme="majorHAnsi" w:eastAsiaTheme="majorEastAsia" w:hAnsiTheme="majorHAnsi" w:cstheme="majorBidi"/>
      <w:color w:val="1F3763" w:themeColor="accent1" w:themeShade="7F"/>
      <w:sz w:val="24"/>
      <w:szCs w:val="24"/>
      <w:lang w:val="en-US"/>
    </w:rPr>
  </w:style>
  <w:style w:type="paragraph" w:customStyle="1" w:styleId="N05Y">
    <w:name w:val="N05Y"/>
    <w:basedOn w:val="Normal"/>
    <w:uiPriority w:val="99"/>
    <w:rsid w:val="002D59E9"/>
    <w:pPr>
      <w:autoSpaceDE w:val="0"/>
      <w:autoSpaceDN w:val="0"/>
      <w:adjustRightInd w:val="0"/>
      <w:spacing w:before="60" w:after="200"/>
      <w:jc w:val="center"/>
    </w:pPr>
    <w:rPr>
      <w:rFonts w:eastAsiaTheme="minorEastAs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692">
      <w:bodyDiv w:val="1"/>
      <w:marLeft w:val="0"/>
      <w:marRight w:val="0"/>
      <w:marTop w:val="0"/>
      <w:marBottom w:val="0"/>
      <w:divBdr>
        <w:top w:val="none" w:sz="0" w:space="0" w:color="auto"/>
        <w:left w:val="none" w:sz="0" w:space="0" w:color="auto"/>
        <w:bottom w:val="none" w:sz="0" w:space="0" w:color="auto"/>
        <w:right w:val="none" w:sz="0" w:space="0" w:color="auto"/>
      </w:divBdr>
    </w:div>
    <w:div w:id="40904915">
      <w:bodyDiv w:val="1"/>
      <w:marLeft w:val="0"/>
      <w:marRight w:val="0"/>
      <w:marTop w:val="0"/>
      <w:marBottom w:val="0"/>
      <w:divBdr>
        <w:top w:val="none" w:sz="0" w:space="0" w:color="auto"/>
        <w:left w:val="none" w:sz="0" w:space="0" w:color="auto"/>
        <w:bottom w:val="none" w:sz="0" w:space="0" w:color="auto"/>
        <w:right w:val="none" w:sz="0" w:space="0" w:color="auto"/>
      </w:divBdr>
    </w:div>
    <w:div w:id="85348015">
      <w:bodyDiv w:val="1"/>
      <w:marLeft w:val="0"/>
      <w:marRight w:val="0"/>
      <w:marTop w:val="0"/>
      <w:marBottom w:val="0"/>
      <w:divBdr>
        <w:top w:val="none" w:sz="0" w:space="0" w:color="auto"/>
        <w:left w:val="none" w:sz="0" w:space="0" w:color="auto"/>
        <w:bottom w:val="none" w:sz="0" w:space="0" w:color="auto"/>
        <w:right w:val="none" w:sz="0" w:space="0" w:color="auto"/>
      </w:divBdr>
    </w:div>
    <w:div w:id="137653760">
      <w:bodyDiv w:val="1"/>
      <w:marLeft w:val="0"/>
      <w:marRight w:val="0"/>
      <w:marTop w:val="0"/>
      <w:marBottom w:val="0"/>
      <w:divBdr>
        <w:top w:val="none" w:sz="0" w:space="0" w:color="auto"/>
        <w:left w:val="none" w:sz="0" w:space="0" w:color="auto"/>
        <w:bottom w:val="none" w:sz="0" w:space="0" w:color="auto"/>
        <w:right w:val="none" w:sz="0" w:space="0" w:color="auto"/>
      </w:divBdr>
    </w:div>
    <w:div w:id="171529464">
      <w:bodyDiv w:val="1"/>
      <w:marLeft w:val="0"/>
      <w:marRight w:val="0"/>
      <w:marTop w:val="0"/>
      <w:marBottom w:val="0"/>
      <w:divBdr>
        <w:top w:val="none" w:sz="0" w:space="0" w:color="auto"/>
        <w:left w:val="none" w:sz="0" w:space="0" w:color="auto"/>
        <w:bottom w:val="none" w:sz="0" w:space="0" w:color="auto"/>
        <w:right w:val="none" w:sz="0" w:space="0" w:color="auto"/>
      </w:divBdr>
    </w:div>
    <w:div w:id="231888533">
      <w:bodyDiv w:val="1"/>
      <w:marLeft w:val="0"/>
      <w:marRight w:val="0"/>
      <w:marTop w:val="0"/>
      <w:marBottom w:val="0"/>
      <w:divBdr>
        <w:top w:val="none" w:sz="0" w:space="0" w:color="auto"/>
        <w:left w:val="none" w:sz="0" w:space="0" w:color="auto"/>
        <w:bottom w:val="none" w:sz="0" w:space="0" w:color="auto"/>
        <w:right w:val="none" w:sz="0" w:space="0" w:color="auto"/>
      </w:divBdr>
    </w:div>
    <w:div w:id="731738228">
      <w:bodyDiv w:val="1"/>
      <w:marLeft w:val="0"/>
      <w:marRight w:val="0"/>
      <w:marTop w:val="0"/>
      <w:marBottom w:val="0"/>
      <w:divBdr>
        <w:top w:val="none" w:sz="0" w:space="0" w:color="auto"/>
        <w:left w:val="none" w:sz="0" w:space="0" w:color="auto"/>
        <w:bottom w:val="none" w:sz="0" w:space="0" w:color="auto"/>
        <w:right w:val="none" w:sz="0" w:space="0" w:color="auto"/>
      </w:divBdr>
    </w:div>
    <w:div w:id="859245103">
      <w:bodyDiv w:val="1"/>
      <w:marLeft w:val="0"/>
      <w:marRight w:val="0"/>
      <w:marTop w:val="0"/>
      <w:marBottom w:val="0"/>
      <w:divBdr>
        <w:top w:val="none" w:sz="0" w:space="0" w:color="auto"/>
        <w:left w:val="none" w:sz="0" w:space="0" w:color="auto"/>
        <w:bottom w:val="none" w:sz="0" w:space="0" w:color="auto"/>
        <w:right w:val="none" w:sz="0" w:space="0" w:color="auto"/>
      </w:divBdr>
    </w:div>
    <w:div w:id="913852957">
      <w:bodyDiv w:val="1"/>
      <w:marLeft w:val="0"/>
      <w:marRight w:val="0"/>
      <w:marTop w:val="0"/>
      <w:marBottom w:val="0"/>
      <w:divBdr>
        <w:top w:val="none" w:sz="0" w:space="0" w:color="auto"/>
        <w:left w:val="none" w:sz="0" w:space="0" w:color="auto"/>
        <w:bottom w:val="none" w:sz="0" w:space="0" w:color="auto"/>
        <w:right w:val="none" w:sz="0" w:space="0" w:color="auto"/>
      </w:divBdr>
    </w:div>
    <w:div w:id="993417446">
      <w:bodyDiv w:val="1"/>
      <w:marLeft w:val="0"/>
      <w:marRight w:val="0"/>
      <w:marTop w:val="0"/>
      <w:marBottom w:val="0"/>
      <w:divBdr>
        <w:top w:val="none" w:sz="0" w:space="0" w:color="auto"/>
        <w:left w:val="none" w:sz="0" w:space="0" w:color="auto"/>
        <w:bottom w:val="none" w:sz="0" w:space="0" w:color="auto"/>
        <w:right w:val="none" w:sz="0" w:space="0" w:color="auto"/>
      </w:divBdr>
    </w:div>
    <w:div w:id="1068459297">
      <w:bodyDiv w:val="1"/>
      <w:marLeft w:val="0"/>
      <w:marRight w:val="0"/>
      <w:marTop w:val="0"/>
      <w:marBottom w:val="0"/>
      <w:divBdr>
        <w:top w:val="none" w:sz="0" w:space="0" w:color="auto"/>
        <w:left w:val="none" w:sz="0" w:space="0" w:color="auto"/>
        <w:bottom w:val="none" w:sz="0" w:space="0" w:color="auto"/>
        <w:right w:val="none" w:sz="0" w:space="0" w:color="auto"/>
      </w:divBdr>
    </w:div>
    <w:div w:id="1074158305">
      <w:bodyDiv w:val="1"/>
      <w:marLeft w:val="0"/>
      <w:marRight w:val="0"/>
      <w:marTop w:val="0"/>
      <w:marBottom w:val="0"/>
      <w:divBdr>
        <w:top w:val="none" w:sz="0" w:space="0" w:color="auto"/>
        <w:left w:val="none" w:sz="0" w:space="0" w:color="auto"/>
        <w:bottom w:val="none" w:sz="0" w:space="0" w:color="auto"/>
        <w:right w:val="none" w:sz="0" w:space="0" w:color="auto"/>
      </w:divBdr>
    </w:div>
    <w:div w:id="1111782366">
      <w:bodyDiv w:val="1"/>
      <w:marLeft w:val="0"/>
      <w:marRight w:val="0"/>
      <w:marTop w:val="0"/>
      <w:marBottom w:val="0"/>
      <w:divBdr>
        <w:top w:val="none" w:sz="0" w:space="0" w:color="auto"/>
        <w:left w:val="none" w:sz="0" w:space="0" w:color="auto"/>
        <w:bottom w:val="none" w:sz="0" w:space="0" w:color="auto"/>
        <w:right w:val="none" w:sz="0" w:space="0" w:color="auto"/>
      </w:divBdr>
    </w:div>
    <w:div w:id="1179395425">
      <w:bodyDiv w:val="1"/>
      <w:marLeft w:val="0"/>
      <w:marRight w:val="0"/>
      <w:marTop w:val="0"/>
      <w:marBottom w:val="0"/>
      <w:divBdr>
        <w:top w:val="none" w:sz="0" w:space="0" w:color="auto"/>
        <w:left w:val="none" w:sz="0" w:space="0" w:color="auto"/>
        <w:bottom w:val="none" w:sz="0" w:space="0" w:color="auto"/>
        <w:right w:val="none" w:sz="0" w:space="0" w:color="auto"/>
      </w:divBdr>
    </w:div>
    <w:div w:id="1183323505">
      <w:bodyDiv w:val="1"/>
      <w:marLeft w:val="0"/>
      <w:marRight w:val="0"/>
      <w:marTop w:val="0"/>
      <w:marBottom w:val="0"/>
      <w:divBdr>
        <w:top w:val="none" w:sz="0" w:space="0" w:color="auto"/>
        <w:left w:val="none" w:sz="0" w:space="0" w:color="auto"/>
        <w:bottom w:val="none" w:sz="0" w:space="0" w:color="auto"/>
        <w:right w:val="none" w:sz="0" w:space="0" w:color="auto"/>
      </w:divBdr>
    </w:div>
    <w:div w:id="1217887647">
      <w:bodyDiv w:val="1"/>
      <w:marLeft w:val="0"/>
      <w:marRight w:val="0"/>
      <w:marTop w:val="0"/>
      <w:marBottom w:val="0"/>
      <w:divBdr>
        <w:top w:val="none" w:sz="0" w:space="0" w:color="auto"/>
        <w:left w:val="none" w:sz="0" w:space="0" w:color="auto"/>
        <w:bottom w:val="none" w:sz="0" w:space="0" w:color="auto"/>
        <w:right w:val="none" w:sz="0" w:space="0" w:color="auto"/>
      </w:divBdr>
    </w:div>
    <w:div w:id="1233270996">
      <w:bodyDiv w:val="1"/>
      <w:marLeft w:val="0"/>
      <w:marRight w:val="0"/>
      <w:marTop w:val="0"/>
      <w:marBottom w:val="0"/>
      <w:divBdr>
        <w:top w:val="none" w:sz="0" w:space="0" w:color="auto"/>
        <w:left w:val="none" w:sz="0" w:space="0" w:color="auto"/>
        <w:bottom w:val="none" w:sz="0" w:space="0" w:color="auto"/>
        <w:right w:val="none" w:sz="0" w:space="0" w:color="auto"/>
      </w:divBdr>
    </w:div>
    <w:div w:id="1675457426">
      <w:bodyDiv w:val="1"/>
      <w:marLeft w:val="0"/>
      <w:marRight w:val="0"/>
      <w:marTop w:val="0"/>
      <w:marBottom w:val="0"/>
      <w:divBdr>
        <w:top w:val="none" w:sz="0" w:space="0" w:color="auto"/>
        <w:left w:val="none" w:sz="0" w:space="0" w:color="auto"/>
        <w:bottom w:val="none" w:sz="0" w:space="0" w:color="auto"/>
        <w:right w:val="none" w:sz="0" w:space="0" w:color="auto"/>
      </w:divBdr>
    </w:div>
    <w:div w:id="1746368590">
      <w:bodyDiv w:val="1"/>
      <w:marLeft w:val="0"/>
      <w:marRight w:val="0"/>
      <w:marTop w:val="0"/>
      <w:marBottom w:val="0"/>
      <w:divBdr>
        <w:top w:val="none" w:sz="0" w:space="0" w:color="auto"/>
        <w:left w:val="none" w:sz="0" w:space="0" w:color="auto"/>
        <w:bottom w:val="none" w:sz="0" w:space="0" w:color="auto"/>
        <w:right w:val="none" w:sz="0" w:space="0" w:color="auto"/>
      </w:divBdr>
    </w:div>
    <w:div w:id="1806852287">
      <w:bodyDiv w:val="1"/>
      <w:marLeft w:val="0"/>
      <w:marRight w:val="0"/>
      <w:marTop w:val="0"/>
      <w:marBottom w:val="0"/>
      <w:divBdr>
        <w:top w:val="none" w:sz="0" w:space="0" w:color="auto"/>
        <w:left w:val="none" w:sz="0" w:space="0" w:color="auto"/>
        <w:bottom w:val="none" w:sz="0" w:space="0" w:color="auto"/>
        <w:right w:val="none" w:sz="0" w:space="0" w:color="auto"/>
      </w:divBdr>
    </w:div>
    <w:div w:id="2005818987">
      <w:bodyDiv w:val="1"/>
      <w:marLeft w:val="0"/>
      <w:marRight w:val="0"/>
      <w:marTop w:val="0"/>
      <w:marBottom w:val="0"/>
      <w:divBdr>
        <w:top w:val="none" w:sz="0" w:space="0" w:color="auto"/>
        <w:left w:val="none" w:sz="0" w:space="0" w:color="auto"/>
        <w:bottom w:val="none" w:sz="0" w:space="0" w:color="auto"/>
        <w:right w:val="none" w:sz="0" w:space="0" w:color="auto"/>
      </w:divBdr>
      <w:divsChild>
        <w:div w:id="1378508716">
          <w:marLeft w:val="0"/>
          <w:marRight w:val="0"/>
          <w:marTop w:val="0"/>
          <w:marBottom w:val="0"/>
          <w:divBdr>
            <w:top w:val="none" w:sz="0" w:space="0" w:color="auto"/>
            <w:left w:val="none" w:sz="0" w:space="0" w:color="auto"/>
            <w:bottom w:val="none" w:sz="0" w:space="0" w:color="auto"/>
            <w:right w:val="none" w:sz="0" w:space="0" w:color="auto"/>
          </w:divBdr>
        </w:div>
      </w:divsChild>
    </w:div>
    <w:div w:id="2088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F613-16C3-468C-B277-85E2CFA4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6</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Aleksandar Gagović</cp:lastModifiedBy>
  <cp:revision>250</cp:revision>
  <cp:lastPrinted>2023-12-27T11:09:00Z</cp:lastPrinted>
  <dcterms:created xsi:type="dcterms:W3CDTF">2023-11-03T07:48:00Z</dcterms:created>
  <dcterms:modified xsi:type="dcterms:W3CDTF">2025-02-28T10:08:00Z</dcterms:modified>
</cp:coreProperties>
</file>